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Default="00C76C75">
      <w:pPr>
        <w:pStyle w:val="berschrift1"/>
        <w:spacing w:before="94"/>
        <w:ind w:left="223" w:right="342"/>
        <w:jc w:val="center"/>
      </w:pPr>
      <w:r>
        <w:t xml:space="preserve">Formblatt Anlage </w:t>
      </w:r>
      <w:r w:rsidR="00CD40FE">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77777777" w:rsidR="000A4C35" w:rsidRDefault="00C76C75">
      <w:pPr>
        <w:ind w:left="222" w:right="342"/>
        <w:jc w:val="center"/>
        <w:rPr>
          <w:b/>
        </w:rPr>
      </w:pPr>
      <w:r>
        <w:rPr>
          <w:b/>
        </w:rPr>
        <w:t>Nachweis Nichtvorliegen von Ausschlussgründen</w:t>
      </w:r>
    </w:p>
    <w:p w14:paraId="68630669" w14:textId="77777777" w:rsidR="000A4C35" w:rsidRDefault="000A4C35">
      <w:pPr>
        <w:pStyle w:val="Textkrper"/>
        <w:spacing w:before="5"/>
        <w:rPr>
          <w:b/>
          <w:sz w:val="27"/>
        </w:rPr>
      </w:pPr>
    </w:p>
    <w:p w14:paraId="39F9D72A" w14:textId="77777777" w:rsidR="000A4C35" w:rsidRPr="00111C47" w:rsidRDefault="00C76C75">
      <w:pPr>
        <w:pStyle w:val="berschrift1"/>
        <w:ind w:left="225" w:right="342"/>
        <w:jc w:val="center"/>
        <w:rPr>
          <w:b w:val="0"/>
          <w:bCs w:val="0"/>
        </w:rPr>
      </w:pPr>
      <w:r w:rsidRPr="00111C47">
        <w:rPr>
          <w:b w:val="0"/>
          <w:bCs w:val="0"/>
        </w:rPr>
        <w:t>(vom Bieter bzw. jedem Mitglied der Bietergemeinschaft auszufüllen und abzugeben)</w:t>
      </w:r>
    </w:p>
    <w:p w14:paraId="40C04B1D" w14:textId="77777777" w:rsidR="000A4C35" w:rsidRPr="00111C47" w:rsidRDefault="000A4C35">
      <w:pPr>
        <w:jc w:val="center"/>
        <w:sectPr w:rsidR="000A4C35" w:rsidRPr="00111C47" w:rsidSect="006E6589">
          <w:headerReference w:type="even" r:id="rId10"/>
          <w:headerReference w:type="default" r:id="rId11"/>
          <w:footerReference w:type="even" r:id="rId12"/>
          <w:footerReference w:type="default" r:id="rId13"/>
          <w:headerReference w:type="first" r:id="rId14"/>
          <w:footerReference w:type="first" r:id="rId15"/>
          <w:type w:val="continuous"/>
          <w:pgSz w:w="11910" w:h="16840"/>
          <w:pgMar w:top="2080" w:right="1160" w:bottom="1220" w:left="1280" w:header="857" w:footer="1021" w:gutter="0"/>
          <w:pgNumType w:start="1"/>
          <w:cols w:space="720"/>
          <w:docGrid w:linePitch="299"/>
        </w:sectPr>
      </w:pPr>
    </w:p>
    <w:p w14:paraId="4C85CDAC" w14:textId="77777777" w:rsidR="005B0D1B" w:rsidRDefault="005B0D1B" w:rsidP="005B0D1B">
      <w:pPr>
        <w:spacing w:line="312" w:lineRule="auto"/>
        <w:rPr>
          <w:rFonts w:eastAsia="Times New Roman"/>
        </w:rPr>
      </w:pPr>
    </w:p>
    <w:p w14:paraId="05734961" w14:textId="77777777" w:rsidR="005B0D1B" w:rsidRDefault="005B0D1B" w:rsidP="005B0D1B">
      <w:pPr>
        <w:spacing w:line="312" w:lineRule="auto"/>
        <w:rPr>
          <w:rFonts w:eastAsia="Times New Roman"/>
        </w:rPr>
      </w:pPr>
    </w:p>
    <w:p w14:paraId="455DC201" w14:textId="77777777" w:rsidR="001F386B" w:rsidRPr="00374EF8" w:rsidRDefault="001F386B" w:rsidP="001F386B">
      <w:pPr>
        <w:spacing w:after="240" w:line="312" w:lineRule="auto"/>
        <w:jc w:val="center"/>
        <w:rPr>
          <w:rFonts w:eastAsia="Times New Roman"/>
          <w:b/>
        </w:rPr>
      </w:pPr>
      <w:r>
        <w:rPr>
          <w:rFonts w:eastAsia="Times New Roman"/>
          <w:b/>
        </w:rPr>
        <w:t xml:space="preserve">Erklärung </w:t>
      </w:r>
      <w:r w:rsidRPr="0044443F">
        <w:rPr>
          <w:rFonts w:eastAsia="Times New Roman"/>
          <w:b/>
        </w:rPr>
        <w:t>Aussc</w:t>
      </w:r>
      <w:r>
        <w:rPr>
          <w:rFonts w:eastAsia="Times New Roman"/>
          <w:b/>
        </w:rPr>
        <w:t>hlussgründe gemäß §§ 123, 124 GWB</w:t>
      </w:r>
      <w:r>
        <w:rPr>
          <w:rFonts w:eastAsia="Times New Roman"/>
          <w:b/>
        </w:rPr>
        <w:br/>
        <w:t xml:space="preserve">und Russland-Sanktionen gemäß Art. 5k der EU-Verordnung </w:t>
      </w:r>
      <w:r w:rsidRPr="003D4232">
        <w:rPr>
          <w:rFonts w:eastAsia="Times New Roman"/>
          <w:b/>
        </w:rPr>
        <w:t xml:space="preserve">Nr. 833/2014 </w:t>
      </w:r>
      <w:r>
        <w:rPr>
          <w:rFonts w:eastAsia="Times New Roman"/>
          <w:b/>
        </w:rPr>
        <w:br/>
      </w:r>
      <w:r w:rsidRPr="003D4232">
        <w:rPr>
          <w:rFonts w:eastAsia="Times New Roman"/>
          <w:b/>
        </w:rPr>
        <w:t>in der Fassung des Art. 1 Ziff. 23 der Verordnung (EU) 2022/576</w:t>
      </w:r>
      <w:r w:rsidRPr="00374EF8">
        <w:rPr>
          <w:rFonts w:eastAsia="Times New Roman"/>
          <w:b/>
        </w:rPr>
        <w:br/>
      </w:r>
    </w:p>
    <w:tbl>
      <w:tblPr>
        <w:tblStyle w:val="Tabellenraster"/>
        <w:tblW w:w="0" w:type="auto"/>
        <w:tblInd w:w="108" w:type="dxa"/>
        <w:tblLayout w:type="fixed"/>
        <w:tblLook w:val="04A0" w:firstRow="1" w:lastRow="0" w:firstColumn="1" w:lastColumn="0" w:noHBand="0" w:noVBand="1"/>
      </w:tblPr>
      <w:tblGrid>
        <w:gridCol w:w="4211"/>
        <w:gridCol w:w="5111"/>
      </w:tblGrid>
      <w:tr w:rsidR="001F386B" w:rsidRPr="009377FE" w14:paraId="243A228C" w14:textId="77777777" w:rsidTr="005C625E">
        <w:tc>
          <w:tcPr>
            <w:tcW w:w="4211" w:type="dxa"/>
          </w:tcPr>
          <w:p w14:paraId="38E87841" w14:textId="77777777" w:rsidR="001F386B" w:rsidRPr="009377FE" w:rsidRDefault="001F386B" w:rsidP="005C625E">
            <w:pPr>
              <w:spacing w:before="120" w:after="120" w:line="312" w:lineRule="auto"/>
              <w:rPr>
                <w:rFonts w:eastAsia="Times New Roman"/>
                <w:sz w:val="22"/>
                <w:szCs w:val="22"/>
              </w:rPr>
            </w:pPr>
            <w:r w:rsidRPr="009377FE">
              <w:rPr>
                <w:rFonts w:eastAsia="Times New Roman"/>
                <w:sz w:val="22"/>
                <w:szCs w:val="22"/>
              </w:rPr>
              <w:t>Name des Unternehmens</w:t>
            </w:r>
          </w:p>
        </w:tc>
        <w:sdt>
          <w:sdtPr>
            <w:rPr>
              <w:rFonts w:eastAsia="Times New Roman"/>
            </w:rPr>
            <w:alias w:val="Name des Unternehmens"/>
            <w:tag w:val="Name des Unternehmens"/>
            <w:id w:val="-572276477"/>
            <w:placeholder>
              <w:docPart w:val="AF92E9CC88BD4C7B976982F1DF7A5946"/>
            </w:placeholder>
            <w:showingPlcHdr/>
          </w:sdtPr>
          <w:sdtEndPr/>
          <w:sdtContent>
            <w:tc>
              <w:tcPr>
                <w:tcW w:w="5111" w:type="dxa"/>
              </w:tcPr>
              <w:p w14:paraId="495A31ED" w14:textId="77777777" w:rsidR="001F386B" w:rsidRPr="004101AF" w:rsidRDefault="001F386B" w:rsidP="005C625E">
                <w:pPr>
                  <w:spacing w:before="120" w:after="120" w:line="312" w:lineRule="auto"/>
                  <w:rPr>
                    <w:rFonts w:eastAsia="Times New Roman"/>
                    <w:sz w:val="22"/>
                    <w:szCs w:val="22"/>
                  </w:rPr>
                </w:pPr>
                <w:r w:rsidRPr="004101AF">
                  <w:rPr>
                    <w:rStyle w:val="Platzhaltertext"/>
                    <w:color w:val="DAEEF3" w:themeColor="accent5" w:themeTint="33"/>
                    <w:shd w:val="clear" w:color="auto" w:fill="DAEEF3" w:themeFill="accent5" w:themeFillTint="33"/>
                  </w:rPr>
                  <w:t>Klicken Sie hier, um Text einzugeben.</w:t>
                </w:r>
              </w:p>
            </w:tc>
          </w:sdtContent>
        </w:sdt>
      </w:tr>
      <w:tr w:rsidR="001F386B" w:rsidRPr="009377FE" w14:paraId="2F487B94" w14:textId="77777777" w:rsidTr="005C625E">
        <w:tc>
          <w:tcPr>
            <w:tcW w:w="4211" w:type="dxa"/>
          </w:tcPr>
          <w:p w14:paraId="654C1958" w14:textId="77777777" w:rsidR="001F386B" w:rsidRPr="009377FE" w:rsidRDefault="001F386B" w:rsidP="005C625E">
            <w:pPr>
              <w:spacing w:before="120" w:after="120" w:line="312" w:lineRule="auto"/>
              <w:rPr>
                <w:rFonts w:eastAsia="Times New Roman"/>
                <w:sz w:val="22"/>
                <w:szCs w:val="22"/>
              </w:rPr>
            </w:pPr>
            <w:r w:rsidRPr="009377FE">
              <w:rPr>
                <w:rFonts w:eastAsia="Times New Roman"/>
                <w:sz w:val="22"/>
                <w:szCs w:val="22"/>
              </w:rPr>
              <w:t>Anschrift:</w:t>
            </w:r>
          </w:p>
        </w:tc>
        <w:sdt>
          <w:sdtPr>
            <w:rPr>
              <w:rFonts w:eastAsia="Times New Roman"/>
            </w:rPr>
            <w:alias w:val="Anschrift"/>
            <w:tag w:val="Anschrift"/>
            <w:id w:val="958069016"/>
            <w:placeholder>
              <w:docPart w:val="9F6C0F2C8EF743C3883FF355E4B43313"/>
            </w:placeholder>
            <w:showingPlcHdr/>
          </w:sdtPr>
          <w:sdtEndPr/>
          <w:sdtContent>
            <w:tc>
              <w:tcPr>
                <w:tcW w:w="5111" w:type="dxa"/>
              </w:tcPr>
              <w:p w14:paraId="33751F8F" w14:textId="77777777" w:rsidR="001F386B" w:rsidRPr="004101AF" w:rsidRDefault="001F386B" w:rsidP="005C625E">
                <w:pPr>
                  <w:spacing w:before="120" w:after="120" w:line="312" w:lineRule="auto"/>
                  <w:rPr>
                    <w:rFonts w:eastAsia="Times New Roman"/>
                    <w:sz w:val="22"/>
                    <w:szCs w:val="22"/>
                  </w:rPr>
                </w:pPr>
                <w:r w:rsidRPr="004101AF">
                  <w:rPr>
                    <w:rStyle w:val="Platzhaltertext"/>
                    <w:color w:val="DAEEF3" w:themeColor="accent5" w:themeTint="33"/>
                    <w:shd w:val="clear" w:color="auto" w:fill="DAEEF3" w:themeFill="accent5" w:themeFillTint="33"/>
                  </w:rPr>
                  <w:t>Klicken Sie hier, um Text einzugeben.</w:t>
                </w:r>
              </w:p>
            </w:tc>
          </w:sdtContent>
        </w:sdt>
      </w:tr>
    </w:tbl>
    <w:p w14:paraId="3D2C6D20" w14:textId="77777777" w:rsidR="001F386B" w:rsidRDefault="001F386B">
      <w:pPr>
        <w:pStyle w:val="Textkrper"/>
        <w:spacing w:before="198"/>
        <w:ind w:left="846"/>
        <w:jc w:val="both"/>
      </w:pPr>
    </w:p>
    <w:p w14:paraId="6E15E2C4" w14:textId="5CC64405" w:rsidR="000A4C35" w:rsidRDefault="00C76C75">
      <w:pPr>
        <w:pStyle w:val="Textkrper"/>
        <w:spacing w:before="198"/>
        <w:ind w:left="846"/>
        <w:jc w:val="both"/>
      </w:pPr>
      <w:r>
        <w:t>Ich erkläre / Wir erklären, dass</w:t>
      </w:r>
    </w:p>
    <w:p w14:paraId="58A96BFE" w14:textId="77777777" w:rsidR="000A4C35" w:rsidRDefault="00224502"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i.V.m. § 19 Abs. 1 i.V.m.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r>
        <w:t>i.V.m.</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r>
        <w:t>i.V.m.</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i.V.m. § 98c Abs. 1 Aufenthaltsgesetz (s. </w:t>
      </w:r>
      <w:r>
        <w:rPr>
          <w:b/>
          <w:spacing w:val="-3"/>
        </w:rPr>
        <w:t>Anhang</w:t>
      </w:r>
      <w:r>
        <w:rPr>
          <w:b/>
          <w:spacing w:val="-5"/>
        </w:rPr>
        <w:t xml:space="preserve"> </w:t>
      </w:r>
      <w:r>
        <w:rPr>
          <w:b/>
        </w:rPr>
        <w:t>5</w:t>
      </w:r>
      <w:r>
        <w:t>)</w:t>
      </w:r>
    </w:p>
    <w:p w14:paraId="796C867F" w14:textId="580A9DDD" w:rsidR="00F31EEF" w:rsidRDefault="00C76C75" w:rsidP="00F31EEF">
      <w:pPr>
        <w:pStyle w:val="Listenabsatz"/>
        <w:numPr>
          <w:ilvl w:val="2"/>
          <w:numId w:val="18"/>
        </w:numPr>
        <w:spacing w:before="172" w:line="288" w:lineRule="auto"/>
        <w:ind w:left="1727" w:right="257" w:hanging="451"/>
        <w:jc w:val="left"/>
      </w:pPr>
      <w:r>
        <w:t xml:space="preserve">§ 124 Abs. 2 GWB i.V.m. § 21 Abs. 1 S. 1, 2 Schwarzarbeitsbekämpfungsgesetz (s. </w:t>
      </w:r>
      <w:r>
        <w:rPr>
          <w:b/>
          <w:spacing w:val="-3"/>
        </w:rPr>
        <w:t>Anhang</w:t>
      </w:r>
      <w:r>
        <w:rPr>
          <w:b/>
          <w:spacing w:val="3"/>
        </w:rPr>
        <w:t xml:space="preserve"> </w:t>
      </w:r>
      <w:r>
        <w:rPr>
          <w:b/>
        </w:rPr>
        <w:t>6</w:t>
      </w:r>
      <w:r>
        <w:t>)</w:t>
      </w:r>
    </w:p>
    <w:p w14:paraId="07A63352" w14:textId="597F24B0" w:rsidR="00F31EEF" w:rsidRDefault="00F31EEF" w:rsidP="00FE218F">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i.V.m. § 22 Abs. 2 Lieferkettensorgfaltspflichtengesetz (s. </w:t>
      </w:r>
      <w:r w:rsidRPr="00F31EEF">
        <w:rPr>
          <w:rFonts w:cs="Arial"/>
          <w:b/>
          <w:bCs/>
          <w:szCs w:val="22"/>
        </w:rPr>
        <w:t>Anhang 7</w:t>
      </w:r>
      <w:r w:rsidRPr="00F31EEF">
        <w:rPr>
          <w:rFonts w:cs="Arial"/>
          <w:szCs w:val="22"/>
        </w:rPr>
        <w:t>)</w:t>
      </w:r>
    </w:p>
    <w:p w14:paraId="0A504C19" w14:textId="4BEA7878" w:rsidR="006427EF" w:rsidRDefault="00224502" w:rsidP="006427EF">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sdt>
        <w:sdtPr>
          <w:rPr>
            <w:rFonts w:eastAsia="Times New Roman"/>
          </w:rPr>
          <w:alias w:val="Angabe"/>
          <w:tag w:val="Angabe"/>
          <w:id w:val="1565299461"/>
          <w:showingPlcHdr/>
        </w:sdtPr>
        <w:sdtEndPr/>
        <w:sdtContent>
          <w:r w:rsidR="00111C47" w:rsidRPr="002D1EBE">
            <w:rPr>
              <w:rFonts w:ascii="Calibri" w:eastAsia="Calibri" w:hAnsi="Calibri" w:cs="Times New Roman"/>
              <w:color w:val="B8CCE4"/>
              <w:shd w:val="clear" w:color="auto" w:fill="B8CCE4"/>
            </w:rPr>
            <w:t>Ort eintragen.</w:t>
          </w:r>
        </w:sdtContent>
      </w:sdt>
    </w:p>
    <w:p w14:paraId="7923539B" w14:textId="77777777" w:rsidR="006427EF" w:rsidRDefault="006427EF" w:rsidP="005B0D1B">
      <w:pPr>
        <w:pStyle w:val="Textkrper"/>
        <w:spacing w:before="1" w:line="288" w:lineRule="auto"/>
        <w:ind w:left="847" w:right="256"/>
        <w:jc w:val="both"/>
      </w:pPr>
    </w:p>
    <w:p w14:paraId="02C12449" w14:textId="18541B3F" w:rsidR="000A4C35" w:rsidRDefault="00C76C75" w:rsidP="005B0D1B">
      <w:pPr>
        <w:pStyle w:val="Textkrper"/>
        <w:spacing w:before="1" w:line="288" w:lineRule="auto"/>
        <w:ind w:left="847" w:right="256"/>
        <w:jc w:val="both"/>
        <w:rPr>
          <w:sz w:val="20"/>
        </w:rPr>
      </w:pPr>
      <w:r>
        <w:t>Diese Angaben sind vollständig; im Übrigen treffen die in den oben genannten Regelungen</w:t>
      </w:r>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4699A69D" w14:textId="77777777" w:rsidR="000A4C35" w:rsidRDefault="000A4C35">
      <w:pPr>
        <w:pStyle w:val="Textkrper"/>
        <w:rPr>
          <w:sz w:val="20"/>
        </w:rPr>
      </w:pPr>
    </w:p>
    <w:p w14:paraId="0F99A151" w14:textId="77777777" w:rsidR="000A4C35" w:rsidRDefault="000A4C35">
      <w:pPr>
        <w:pStyle w:val="Textkrper"/>
        <w:spacing w:before="4"/>
        <w:rPr>
          <w:sz w:val="16"/>
        </w:rPr>
      </w:pPr>
    </w:p>
    <w:p w14:paraId="3D9A0D55" w14:textId="77777777" w:rsidR="00111C47" w:rsidRDefault="00111C47">
      <w:pPr>
        <w:pStyle w:val="Textkrper"/>
        <w:spacing w:before="4"/>
        <w:rPr>
          <w:sz w:val="16"/>
        </w:rPr>
      </w:pPr>
    </w:p>
    <w:p w14:paraId="13CE6776" w14:textId="57F2CF13" w:rsidR="000A4C35" w:rsidRDefault="00C76C75">
      <w:pPr>
        <w:pStyle w:val="berschrift1"/>
        <w:numPr>
          <w:ilvl w:val="0"/>
          <w:numId w:val="18"/>
        </w:numPr>
        <w:tabs>
          <w:tab w:val="left" w:pos="565"/>
          <w:tab w:val="left" w:pos="566"/>
        </w:tabs>
        <w:spacing w:before="93" w:line="312" w:lineRule="auto"/>
        <w:ind w:left="565" w:right="251" w:hanging="428"/>
      </w:pPr>
      <w:r>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rsidR="001344ED">
        <w:lastRenderedPageBreak/>
        <w:t>Zuverlässigkeit</w:t>
      </w:r>
    </w:p>
    <w:p w14:paraId="7063D4D5" w14:textId="77777777" w:rsidR="000A4C35" w:rsidRDefault="000A4C35">
      <w:pPr>
        <w:pStyle w:val="Textkrper"/>
        <w:spacing w:before="2"/>
        <w:rPr>
          <w:b/>
          <w:sz w:val="21"/>
        </w:rPr>
      </w:pPr>
    </w:p>
    <w:p w14:paraId="40E8EDB5" w14:textId="77777777" w:rsidR="000A4C35" w:rsidRDefault="00224502"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0"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0"/>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3302C732" w14:textId="77777777" w:rsidR="008064C5" w:rsidRDefault="008064C5" w:rsidP="008064C5">
      <w:pPr>
        <w:pStyle w:val="berschrift1"/>
        <w:tabs>
          <w:tab w:val="left" w:pos="565"/>
          <w:tab w:val="left" w:pos="566"/>
        </w:tabs>
        <w:spacing w:line="312" w:lineRule="auto"/>
        <w:ind w:left="565" w:right="252"/>
      </w:pPr>
    </w:p>
    <w:p w14:paraId="0CB269A0" w14:textId="3E316C46" w:rsidR="009732B7" w:rsidRDefault="00224502" w:rsidP="009732B7">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44"/>
        </w:rPr>
        <w:t xml:space="preserve"> </w:t>
      </w:r>
      <w:r w:rsidR="00C76C75">
        <w:t>habe</w:t>
      </w:r>
      <w:r w:rsidR="008E5163">
        <w:t xml:space="preserve"> </w:t>
      </w:r>
      <w:proofErr w:type="gramStart"/>
      <w:r w:rsidR="008E5163">
        <w:t xml:space="preserve">/ </w:t>
      </w:r>
      <w:r w:rsidR="00C76C75" w:rsidRPr="008E5163">
        <w:rPr>
          <w:spacing w:val="-42"/>
        </w:rPr>
        <w:t xml:space="preserve"> </w:t>
      </w:r>
      <w:r w:rsidR="00C76C75">
        <w:t>Wi</w:t>
      </w:r>
      <w:r w:rsidR="008E5163">
        <w:t>r</w:t>
      </w:r>
      <w:proofErr w:type="gramEnd"/>
      <w:r w:rsidR="008E5163">
        <w:t xml:space="preserve"> h</w:t>
      </w:r>
      <w:r w:rsidR="00C76C75">
        <w:t>aben</w:t>
      </w:r>
      <w:r w:rsidR="00C76C75" w:rsidRPr="008E5163">
        <w:rPr>
          <w:spacing w:val="-43"/>
        </w:rPr>
        <w:t xml:space="preserve"> </w:t>
      </w:r>
      <w:r w:rsidR="00C76C75">
        <w:t>Selbstreinigungsmaßnahmen</w:t>
      </w:r>
      <w:r w:rsidR="00A30A0B">
        <w:t xml:space="preserve"> </w:t>
      </w:r>
      <w:r w:rsidR="00C76C75" w:rsidRPr="008E5163">
        <w:rPr>
          <w:spacing w:val="-43"/>
        </w:rPr>
        <w:t xml:space="preserve"> </w:t>
      </w:r>
      <w:r w:rsidR="00C76C75">
        <w:t>im</w:t>
      </w:r>
      <w:r w:rsidR="00C76C75" w:rsidRPr="008E5163">
        <w:rPr>
          <w:spacing w:val="-43"/>
        </w:rPr>
        <w:t xml:space="preserve"> </w:t>
      </w:r>
      <w:r w:rsidR="00A30A0B">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r w:rsidR="00C76C75">
        <w:t>123</w:t>
      </w:r>
      <w:r w:rsidR="00C76C75" w:rsidRPr="008E5163">
        <w:rPr>
          <w:spacing w:val="-42"/>
        </w:rPr>
        <w:t xml:space="preserve"> </w:t>
      </w:r>
      <w:r w:rsidR="00F31EEF">
        <w:rPr>
          <w:spacing w:val="-42"/>
        </w:rPr>
        <w:t xml:space="preserve"> </w:t>
      </w:r>
      <w:r w:rsidR="00C76C75">
        <w:t>Abs.</w:t>
      </w:r>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1"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1"/>
      <w:r w:rsidR="00C76C75">
        <w:t>.</w:t>
      </w:r>
    </w:p>
    <w:p w14:paraId="4D09139B" w14:textId="77777777" w:rsidR="009732B7" w:rsidRPr="009732B7" w:rsidRDefault="009732B7" w:rsidP="009732B7">
      <w:pPr>
        <w:keepNext/>
        <w:widowControl/>
        <w:autoSpaceDE/>
        <w:autoSpaceDN/>
        <w:spacing w:before="480" w:after="240" w:line="312" w:lineRule="auto"/>
        <w:ind w:left="426" w:hanging="426"/>
        <w:jc w:val="both"/>
        <w:rPr>
          <w:rFonts w:eastAsia="Times New Roman"/>
          <w:b/>
        </w:rPr>
      </w:pPr>
      <w:r w:rsidRPr="009732B7">
        <w:rPr>
          <w:rFonts w:eastAsia="Times New Roman"/>
          <w:b/>
        </w:rPr>
        <w:t>4.</w:t>
      </w:r>
      <w:r w:rsidRPr="009732B7">
        <w:rPr>
          <w:rFonts w:eastAsia="Times New Roman"/>
          <w:b/>
        </w:rPr>
        <w:tab/>
        <w:t>Erklärung gemäß Artikel 5 k) Absatz 1 der Verordnung (EU) Nr. 833/2014 in der Fassung des Art. 1 Ziff. 23 der Verordnung (EU) 2022/576 des Rates vom 8. April 2022 über restriktive Maßnahmen angesichts der Handlungen Russlands, die die Lage in der Ukraine destabilisieren (s. Anhang 8)</w:t>
      </w:r>
    </w:p>
    <w:p w14:paraId="70421273" w14:textId="77777777" w:rsidR="009732B7" w:rsidRPr="009732B7" w:rsidRDefault="00224502" w:rsidP="009732B7">
      <w:pPr>
        <w:widowControl/>
        <w:autoSpaceDE/>
        <w:autoSpaceDN/>
        <w:spacing w:after="200" w:line="276" w:lineRule="auto"/>
        <w:ind w:left="426" w:hanging="426"/>
        <w:rPr>
          <w:rFonts w:eastAsia="BundesSerif Office"/>
        </w:rPr>
      </w:pPr>
      <w:sdt>
        <w:sdtPr>
          <w:rPr>
            <w:rFonts w:eastAsia="Lucida Sans Unicode"/>
            <w:w w:val="95"/>
            <w:lang w:eastAsia="zh-CN"/>
          </w:rPr>
          <w:id w:val="1154407023"/>
          <w14:checkbox>
            <w14:checked w14:val="0"/>
            <w14:checkedState w14:val="2612" w14:font="MS Gothic"/>
            <w14:uncheckedState w14:val="2610" w14:font="MS Gothic"/>
          </w14:checkbox>
        </w:sdtPr>
        <w:sdtEndPr/>
        <w:sdtContent>
          <w:r w:rsidR="009732B7" w:rsidRPr="009732B7">
            <w:rPr>
              <w:rFonts w:ascii="Segoe UI Symbol" w:eastAsia="Lucida Sans Unicode" w:hAnsi="Segoe UI Symbol" w:cs="Segoe UI Symbol"/>
              <w:w w:val="95"/>
              <w:lang w:eastAsia="zh-CN"/>
            </w:rPr>
            <w:t>☐</w:t>
          </w:r>
        </w:sdtContent>
      </w:sdt>
      <w:r w:rsidR="009732B7" w:rsidRPr="009732B7">
        <w:rPr>
          <w:rFonts w:eastAsia="Lucida Sans Unicode"/>
          <w:w w:val="95"/>
          <w:lang w:eastAsia="zh-CN"/>
        </w:rPr>
        <w:tab/>
      </w:r>
      <w:r w:rsidR="009732B7" w:rsidRPr="009732B7">
        <w:rPr>
          <w:rFonts w:eastAsia="BundesSerif Office"/>
        </w:rPr>
        <w:t>Ich gehört nicht / wir gehören nicht zu den in Artikel 5 k) Absatz 1 der Verordnung (EU) Nr. 833/2014 in der Fassung des Art. 1 Ziff. 23 der Verordnung (EU) 2022/576 des Rates vom 8. April 2022 über restriktive Maßnahmen angesichts der Handlungen Russlands, die die Lage in der Ukraine destabilisieren,</w:t>
      </w:r>
    </w:p>
    <w:p w14:paraId="31CAAA42" w14:textId="77777777" w:rsidR="009732B7" w:rsidRPr="009732B7" w:rsidRDefault="009732B7" w:rsidP="009732B7">
      <w:pPr>
        <w:widowControl/>
        <w:autoSpaceDE/>
        <w:autoSpaceDN/>
        <w:spacing w:after="200" w:line="276" w:lineRule="auto"/>
        <w:ind w:left="426"/>
        <w:rPr>
          <w:rFonts w:eastAsia="BundesSerif Office"/>
        </w:rPr>
      </w:pPr>
      <w:r w:rsidRPr="009732B7">
        <w:rPr>
          <w:rFonts w:eastAsia="BundesSerif Office"/>
        </w:rPr>
        <w:t xml:space="preserve">genannten Personen oder Unternehmen, die einen </w:t>
      </w:r>
      <w:r w:rsidRPr="009732B7">
        <w:rPr>
          <w:rFonts w:eastAsia="BundesSerif Office"/>
          <w:u w:val="single"/>
        </w:rPr>
        <w:t>Bezug zu Russland</w:t>
      </w:r>
      <w:r w:rsidRPr="009732B7">
        <w:rPr>
          <w:rFonts w:eastAsia="BundesSerif Office"/>
        </w:rPr>
        <w:t xml:space="preserve"> im Sinne der Vorschrift aufweisen, </w:t>
      </w:r>
    </w:p>
    <w:p w14:paraId="46F26FC8" w14:textId="77777777" w:rsidR="009732B7" w:rsidRPr="009732B7" w:rsidRDefault="009732B7" w:rsidP="009732B7">
      <w:pPr>
        <w:widowControl/>
        <w:numPr>
          <w:ilvl w:val="0"/>
          <w:numId w:val="19"/>
        </w:numPr>
        <w:autoSpaceDE/>
        <w:autoSpaceDN/>
        <w:spacing w:after="200" w:line="276" w:lineRule="auto"/>
        <w:contextualSpacing/>
        <w:rPr>
          <w:rFonts w:eastAsia="BundesSerif Office"/>
        </w:rPr>
      </w:pPr>
      <w:r w:rsidRPr="009732B7">
        <w:rPr>
          <w:rFonts w:eastAsia="BundesSerif Office"/>
        </w:rPr>
        <w:t>durch die russische Staatsangehörigkeit des Bewerbers/Bieters oder die Niederlassung des Bewerbers/Bieters in Russland,</w:t>
      </w:r>
    </w:p>
    <w:p w14:paraId="5DB72246" w14:textId="77777777" w:rsidR="009732B7" w:rsidRPr="009732B7" w:rsidRDefault="009732B7" w:rsidP="009732B7">
      <w:pPr>
        <w:widowControl/>
        <w:numPr>
          <w:ilvl w:val="0"/>
          <w:numId w:val="19"/>
        </w:numPr>
        <w:autoSpaceDE/>
        <w:autoSpaceDN/>
        <w:spacing w:after="200" w:line="276" w:lineRule="auto"/>
        <w:contextualSpacing/>
        <w:rPr>
          <w:rFonts w:eastAsia="BundesSerif Office"/>
        </w:rPr>
      </w:pPr>
      <w:r w:rsidRPr="009732B7">
        <w:rPr>
          <w:rFonts w:eastAsia="BundesSerif Office"/>
        </w:rPr>
        <w:t>durch die Beteiligung einer natürlichen Person oder eines Unternehmens, auf die eines der Kriterien nach Buchstabe a zutrifft, am Bewerber/Bieter über das Halten von Anteilen im Umfang von mehr als 50%,</w:t>
      </w:r>
    </w:p>
    <w:p w14:paraId="55AAB05E" w14:textId="77777777" w:rsidR="009732B7" w:rsidRPr="009732B7" w:rsidRDefault="009732B7" w:rsidP="009732B7">
      <w:pPr>
        <w:widowControl/>
        <w:numPr>
          <w:ilvl w:val="0"/>
          <w:numId w:val="19"/>
        </w:numPr>
        <w:autoSpaceDE/>
        <w:autoSpaceDN/>
        <w:spacing w:after="200" w:line="276" w:lineRule="auto"/>
        <w:contextualSpacing/>
        <w:rPr>
          <w:rFonts w:eastAsia="BundesSerif Office"/>
        </w:rPr>
      </w:pPr>
      <w:r w:rsidRPr="009732B7">
        <w:rPr>
          <w:rFonts w:eastAsia="BundesSerif Office"/>
        </w:rPr>
        <w:t>durch das Handeln der Bewerber/Bieter im Namen oder auf Anweisung von Personen oder Unternehmen, auf die die Kriterien der Buchstaben a und/oder b zutrifft.</w:t>
      </w:r>
    </w:p>
    <w:p w14:paraId="103CF74B" w14:textId="77777777" w:rsidR="009732B7" w:rsidRPr="009732B7" w:rsidRDefault="009732B7" w:rsidP="009732B7">
      <w:pPr>
        <w:widowControl/>
        <w:autoSpaceDE/>
        <w:autoSpaceDN/>
        <w:spacing w:after="200" w:line="276" w:lineRule="auto"/>
        <w:ind w:left="720"/>
        <w:contextualSpacing/>
        <w:rPr>
          <w:rFonts w:eastAsia="BundesSerif Office"/>
          <w:b/>
        </w:rPr>
      </w:pPr>
    </w:p>
    <w:p w14:paraId="0DE7B65D" w14:textId="77777777" w:rsidR="009732B7" w:rsidRPr="009732B7" w:rsidRDefault="00224502" w:rsidP="009732B7">
      <w:pPr>
        <w:widowControl/>
        <w:autoSpaceDE/>
        <w:autoSpaceDN/>
        <w:spacing w:after="200" w:line="276" w:lineRule="auto"/>
        <w:ind w:left="426" w:hanging="426"/>
        <w:rPr>
          <w:rFonts w:eastAsia="BundesSerif Office"/>
        </w:rPr>
      </w:pPr>
      <w:sdt>
        <w:sdtPr>
          <w:rPr>
            <w:rFonts w:eastAsia="Lucida Sans Unicode"/>
            <w:w w:val="95"/>
            <w:lang w:eastAsia="zh-CN"/>
          </w:rPr>
          <w:id w:val="-482388056"/>
          <w14:checkbox>
            <w14:checked w14:val="0"/>
            <w14:checkedState w14:val="2612" w14:font="MS Gothic"/>
            <w14:uncheckedState w14:val="2610" w14:font="MS Gothic"/>
          </w14:checkbox>
        </w:sdtPr>
        <w:sdtEndPr/>
        <w:sdtContent>
          <w:r w:rsidR="009732B7" w:rsidRPr="009732B7">
            <w:rPr>
              <w:rFonts w:ascii="Segoe UI Symbol" w:eastAsia="Lucida Sans Unicode" w:hAnsi="Segoe UI Symbol" w:cs="Segoe UI Symbol"/>
              <w:w w:val="95"/>
              <w:lang w:eastAsia="zh-CN"/>
            </w:rPr>
            <w:t>☐</w:t>
          </w:r>
        </w:sdtContent>
      </w:sdt>
      <w:r w:rsidR="009732B7" w:rsidRPr="009732B7">
        <w:rPr>
          <w:rFonts w:eastAsia="Lucida Sans Unicode"/>
          <w:w w:val="95"/>
          <w:lang w:eastAsia="zh-CN"/>
        </w:rPr>
        <w:tab/>
        <w:t>D</w:t>
      </w:r>
      <w:r w:rsidR="009732B7" w:rsidRPr="009732B7">
        <w:rPr>
          <w:rFonts w:eastAsia="BundesSerif Office"/>
        </w:rPr>
        <w:t>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D4BD785" w14:textId="77777777" w:rsidR="009732B7" w:rsidRPr="009732B7" w:rsidRDefault="00224502" w:rsidP="009732B7">
      <w:pPr>
        <w:widowControl/>
        <w:autoSpaceDE/>
        <w:autoSpaceDN/>
        <w:spacing w:after="200" w:line="276" w:lineRule="auto"/>
        <w:ind w:left="426" w:hanging="426"/>
        <w:rPr>
          <w:rFonts w:eastAsia="BundesSerif Office"/>
        </w:rPr>
      </w:pPr>
      <w:sdt>
        <w:sdtPr>
          <w:rPr>
            <w:rFonts w:eastAsia="Lucida Sans Unicode"/>
            <w:w w:val="95"/>
            <w:lang w:eastAsia="zh-CN"/>
          </w:rPr>
          <w:id w:val="-411319510"/>
          <w14:checkbox>
            <w14:checked w14:val="0"/>
            <w14:checkedState w14:val="2612" w14:font="MS Gothic"/>
            <w14:uncheckedState w14:val="2610" w14:font="MS Gothic"/>
          </w14:checkbox>
        </w:sdtPr>
        <w:sdtEndPr/>
        <w:sdtContent>
          <w:r w:rsidR="009732B7" w:rsidRPr="009732B7">
            <w:rPr>
              <w:rFonts w:ascii="Segoe UI Symbol" w:eastAsia="Lucida Sans Unicode" w:hAnsi="Segoe UI Symbol" w:cs="Segoe UI Symbol"/>
              <w:w w:val="95"/>
              <w:lang w:eastAsia="zh-CN"/>
            </w:rPr>
            <w:t>☐</w:t>
          </w:r>
        </w:sdtContent>
      </w:sdt>
      <w:r w:rsidR="009732B7" w:rsidRPr="009732B7">
        <w:rPr>
          <w:rFonts w:eastAsia="Lucida Sans Unicode"/>
          <w:w w:val="95"/>
          <w:lang w:eastAsia="zh-CN"/>
        </w:rPr>
        <w:tab/>
      </w:r>
      <w:r w:rsidR="009732B7" w:rsidRPr="009732B7">
        <w:rPr>
          <w:rFonts w:eastAsia="BundesSerif Office"/>
        </w:rPr>
        <w:t xml:space="preserve"> Es wird bestätigt und sichergestellt, dass auch während der Vertragslaufzeit keine als Unterauftragnehmer, Lieferanten oder Unternehmen, deren Kapazitäten im Zusammenhang </w:t>
      </w:r>
      <w:r w:rsidR="009732B7" w:rsidRPr="009732B7">
        <w:rPr>
          <w:rFonts w:eastAsia="BundesSerif Office"/>
        </w:rPr>
        <w:lastRenderedPageBreak/>
        <w:t>mit der Erbringung des Eignungsnachweises in Anspruch genommen werden, beteiligten Unternehmen eingesetzt werden, auf die mehr als 10 % des Auftragswerts entfällt.</w:t>
      </w:r>
    </w:p>
    <w:p w14:paraId="3197B29A" w14:textId="77777777" w:rsidR="009732B7" w:rsidRPr="009732B7" w:rsidRDefault="009732B7" w:rsidP="009732B7">
      <w:pPr>
        <w:widowControl/>
        <w:autoSpaceDE/>
        <w:autoSpaceDN/>
        <w:spacing w:before="240" w:after="240" w:line="312" w:lineRule="auto"/>
        <w:jc w:val="both"/>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9732B7" w:rsidRPr="009732B7" w14:paraId="46D17184" w14:textId="77777777" w:rsidTr="005C625E">
        <w:trPr>
          <w:trHeight w:val="1408"/>
        </w:trPr>
        <w:tc>
          <w:tcPr>
            <w:tcW w:w="2127" w:type="dxa"/>
          </w:tcPr>
          <w:p w14:paraId="23AB9B02" w14:textId="77777777" w:rsidR="009732B7" w:rsidRPr="009732B7" w:rsidRDefault="009732B7" w:rsidP="009732B7">
            <w:pPr>
              <w:widowControl/>
              <w:autoSpaceDE/>
              <w:autoSpaceDN/>
              <w:rPr>
                <w:rFonts w:eastAsia="Times New Roman"/>
              </w:rPr>
            </w:pPr>
            <w:r w:rsidRPr="009732B7">
              <w:rPr>
                <w:rFonts w:eastAsia="Times New Roman"/>
              </w:rPr>
              <w:t>Ort:</w:t>
            </w:r>
          </w:p>
          <w:sdt>
            <w:sdtPr>
              <w:rPr>
                <w:rFonts w:eastAsia="Times New Roman"/>
              </w:rPr>
              <w:alias w:val="Ort"/>
              <w:tag w:val="Ort"/>
              <w:id w:val="-173573927"/>
              <w:showingPlcHdr/>
            </w:sdtPr>
            <w:sdtEndPr/>
            <w:sdtContent>
              <w:p w14:paraId="09666622" w14:textId="77777777" w:rsidR="009732B7" w:rsidRPr="009732B7" w:rsidRDefault="009732B7" w:rsidP="009732B7">
                <w:pPr>
                  <w:widowControl/>
                  <w:autoSpaceDE/>
                  <w:autoSpaceDN/>
                  <w:rPr>
                    <w:rFonts w:eastAsia="Times New Roman"/>
                  </w:rPr>
                </w:pPr>
                <w:r w:rsidRPr="009732B7">
                  <w:rPr>
                    <w:rFonts w:ascii="Lucida Sans Unicode" w:eastAsia="Lucida Sans Unicode" w:hAnsi="Lucida Sans Unicode" w:cs="Times New Roman"/>
                    <w:color w:val="BEE5FF"/>
                    <w:w w:val="95"/>
                    <w:sz w:val="20"/>
                    <w:szCs w:val="20"/>
                    <w:shd w:val="clear" w:color="auto" w:fill="BEE5FF"/>
                    <w:lang w:eastAsia="zh-CN"/>
                  </w:rPr>
                  <w:t>Ort eintragen.</w:t>
                </w:r>
              </w:p>
            </w:sdtContent>
          </w:sdt>
        </w:tc>
        <w:tc>
          <w:tcPr>
            <w:tcW w:w="2268" w:type="dxa"/>
          </w:tcPr>
          <w:p w14:paraId="3868E7FD" w14:textId="77777777" w:rsidR="009732B7" w:rsidRPr="009732B7" w:rsidRDefault="009732B7" w:rsidP="009732B7">
            <w:pPr>
              <w:widowControl/>
              <w:autoSpaceDE/>
              <w:autoSpaceDN/>
              <w:rPr>
                <w:rFonts w:eastAsia="Times New Roman"/>
              </w:rPr>
            </w:pPr>
            <w:r w:rsidRPr="009732B7">
              <w:rPr>
                <w:rFonts w:eastAsia="Times New Roman"/>
              </w:rPr>
              <w:t>Datum:</w:t>
            </w:r>
          </w:p>
          <w:sdt>
            <w:sdtPr>
              <w:rPr>
                <w:rFonts w:eastAsia="Times New Roman"/>
              </w:rPr>
              <w:alias w:val="Datum"/>
              <w:tag w:val="Datum"/>
              <w:id w:val="205910168"/>
              <w:showingPlcHdr/>
            </w:sdtPr>
            <w:sdtEndPr/>
            <w:sdtContent>
              <w:p w14:paraId="2B98B33F" w14:textId="77777777" w:rsidR="009732B7" w:rsidRPr="009732B7" w:rsidRDefault="009732B7" w:rsidP="009732B7">
                <w:pPr>
                  <w:widowControl/>
                  <w:autoSpaceDE/>
                  <w:autoSpaceDN/>
                  <w:rPr>
                    <w:rFonts w:eastAsia="Times New Roman"/>
                  </w:rPr>
                </w:pPr>
                <w:r w:rsidRPr="009732B7">
                  <w:rPr>
                    <w:rFonts w:ascii="Lucida Sans Unicode" w:eastAsia="Lucida Sans Unicode" w:hAnsi="Lucida Sans Unicode" w:cs="Times New Roman"/>
                    <w:color w:val="BEE5FF"/>
                    <w:w w:val="95"/>
                    <w:sz w:val="20"/>
                    <w:szCs w:val="20"/>
                    <w:shd w:val="clear" w:color="auto" w:fill="BEE5FF"/>
                    <w:lang w:eastAsia="zh-CN"/>
                  </w:rPr>
                  <w:t>Datum eintragen.</w:t>
                </w:r>
              </w:p>
            </w:sdtContent>
          </w:sdt>
        </w:tc>
        <w:tc>
          <w:tcPr>
            <w:tcW w:w="4709" w:type="dxa"/>
          </w:tcPr>
          <w:p w14:paraId="1C2145AA" w14:textId="77777777" w:rsidR="009732B7" w:rsidRPr="009732B7" w:rsidRDefault="009732B7" w:rsidP="009732B7">
            <w:pPr>
              <w:widowControl/>
              <w:autoSpaceDE/>
              <w:autoSpaceDN/>
              <w:rPr>
                <w:rFonts w:eastAsia="Times New Roman"/>
              </w:rPr>
            </w:pPr>
            <w:r w:rsidRPr="009732B7">
              <w:rPr>
                <w:rFonts w:eastAsia="Times New Roman"/>
              </w:rPr>
              <w:t>Vor- und Zuname des Erklärenden:</w:t>
            </w:r>
          </w:p>
          <w:sdt>
            <w:sdtPr>
              <w:rPr>
                <w:rFonts w:eastAsia="Times New Roman"/>
              </w:rPr>
              <w:alias w:val="Unterschrift"/>
              <w:tag w:val="Unterschrift"/>
              <w:id w:val="1571154679"/>
              <w:showingPlcHdr/>
            </w:sdtPr>
            <w:sdtEndPr/>
            <w:sdtContent>
              <w:p w14:paraId="437A5310" w14:textId="77777777" w:rsidR="009732B7" w:rsidRPr="009732B7" w:rsidRDefault="009732B7" w:rsidP="009732B7">
                <w:pPr>
                  <w:widowControl/>
                  <w:autoSpaceDE/>
                  <w:autoSpaceDN/>
                  <w:rPr>
                    <w:rFonts w:eastAsia="Times New Roman"/>
                  </w:rPr>
                </w:pPr>
                <w:r w:rsidRPr="009732B7">
                  <w:rPr>
                    <w:rFonts w:ascii="Lucida Sans Unicode" w:eastAsia="Lucida Sans Unicode" w:hAnsi="Lucida Sans Unicode" w:cs="Times New Roman"/>
                    <w:color w:val="BEE5FF"/>
                    <w:w w:val="95"/>
                    <w:sz w:val="20"/>
                    <w:szCs w:val="20"/>
                    <w:shd w:val="clear" w:color="auto" w:fill="BEE5FF"/>
                    <w:lang w:eastAsia="zh-CN"/>
                  </w:rPr>
                  <w:t>Klicken Sie hier, um Text einzugeben.</w:t>
                </w:r>
              </w:p>
            </w:sdtContent>
          </w:sdt>
        </w:tc>
      </w:tr>
    </w:tbl>
    <w:p w14:paraId="6BFCB396" w14:textId="77777777" w:rsidR="009732B7" w:rsidRPr="009732B7" w:rsidRDefault="009732B7" w:rsidP="009732B7">
      <w:pPr>
        <w:widowControl/>
        <w:autoSpaceDE/>
        <w:autoSpaceDN/>
        <w:spacing w:before="240" w:after="240" w:line="312" w:lineRule="auto"/>
        <w:jc w:val="both"/>
        <w:rPr>
          <w:rFonts w:eastAsia="Times New Roman"/>
          <w:b/>
        </w:rPr>
      </w:pPr>
      <w:r w:rsidRPr="009732B7">
        <w:rPr>
          <w:rFonts w:eastAsia="Times New Roman"/>
          <w:b/>
          <w:u w:val="single"/>
        </w:rPr>
        <w:t>Wichtiger Hinweis</w:t>
      </w:r>
      <w:r w:rsidRPr="009732B7">
        <w:rPr>
          <w:rFonts w:eastAsia="Times New Roman"/>
          <w:b/>
        </w:rPr>
        <w:t>: Wird der Name des/der Erklärenden nicht angegeben (Textform gem. § 126b BGB), gilt die Erklärung als nicht abgegeben.</w:t>
      </w:r>
    </w:p>
    <w:p w14:paraId="58826B24" w14:textId="77777777" w:rsidR="009732B7" w:rsidRPr="009732B7" w:rsidRDefault="009732B7" w:rsidP="009732B7">
      <w:pPr>
        <w:widowControl/>
        <w:autoSpaceDE/>
        <w:autoSpaceDN/>
        <w:spacing w:line="264" w:lineRule="auto"/>
        <w:rPr>
          <w:rFonts w:eastAsia="Lucida Sans Unicode"/>
          <w:w w:val="95"/>
          <w:sz w:val="18"/>
          <w:szCs w:val="18"/>
          <w:lang w:eastAsia="zh-CN"/>
        </w:rPr>
      </w:pPr>
      <w:r w:rsidRPr="009732B7">
        <w:rPr>
          <w:rFonts w:eastAsia="Lucida Sans Unicode"/>
          <w:w w:val="95"/>
          <w:sz w:val="18"/>
          <w:szCs w:val="18"/>
          <w:lang w:eastAsia="zh-CN"/>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1E55226A" w14:textId="77777777" w:rsidR="009732B7" w:rsidRPr="009732B7" w:rsidRDefault="009732B7" w:rsidP="009732B7">
      <w:pPr>
        <w:widowControl/>
        <w:autoSpaceDE/>
        <w:autoSpaceDN/>
        <w:spacing w:line="264" w:lineRule="auto"/>
        <w:rPr>
          <w:rFonts w:eastAsia="Lucida Sans Unicode"/>
          <w:w w:val="95"/>
          <w:lang w:eastAsia="zh-CN"/>
        </w:rPr>
      </w:pPr>
    </w:p>
    <w:p w14:paraId="70EC0209" w14:textId="77777777" w:rsidR="009732B7" w:rsidRDefault="009732B7" w:rsidP="009732B7">
      <w:pPr>
        <w:tabs>
          <w:tab w:val="left" w:pos="1272"/>
        </w:tabs>
        <w:spacing w:line="312" w:lineRule="auto"/>
        <w:ind w:right="256"/>
      </w:pPr>
    </w:p>
    <w:p w14:paraId="6CE87285" w14:textId="77777777" w:rsidR="000A4C35" w:rsidRDefault="000A4C35">
      <w:pPr>
        <w:pStyle w:val="Textkrper"/>
        <w:rPr>
          <w:sz w:val="20"/>
        </w:rPr>
      </w:pPr>
    </w:p>
    <w:p w14:paraId="09DE1226" w14:textId="77777777" w:rsidR="00111C47" w:rsidRDefault="00111C47">
      <w:pPr>
        <w:pStyle w:val="Textkrper"/>
        <w:rPr>
          <w:sz w:val="20"/>
        </w:rPr>
      </w:pPr>
    </w:p>
    <w:p w14:paraId="723F533F" w14:textId="77777777" w:rsidR="000A4C35" w:rsidRDefault="000A4C35">
      <w:pPr>
        <w:spacing w:line="336" w:lineRule="auto"/>
        <w:rPr>
          <w:sz w:val="18"/>
        </w:rPr>
        <w:sectPr w:rsidR="000A4C35" w:rsidSect="006E6589">
          <w:headerReference w:type="default" r:id="rId16"/>
          <w:footerReference w:type="default" r:id="rId17"/>
          <w:pgSz w:w="11910" w:h="16840"/>
          <w:pgMar w:top="2080" w:right="1160" w:bottom="1040" w:left="1280" w:header="857" w:footer="844" w:gutter="0"/>
          <w:cols w:space="720"/>
          <w:docGrid w:linePitch="299"/>
        </w:sectPr>
      </w:pPr>
    </w:p>
    <w:p w14:paraId="02698F2D" w14:textId="77777777" w:rsidR="000A4C35" w:rsidRDefault="000A4C35">
      <w:pPr>
        <w:pStyle w:val="Textkrper"/>
        <w:rPr>
          <w:sz w:val="20"/>
        </w:rPr>
      </w:pPr>
    </w:p>
    <w:p w14:paraId="79B5FE68"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t>Anhang 1</w:t>
      </w:r>
    </w:p>
    <w:p w14:paraId="55EDE1FA"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123 GWB Zwingende Ausschlussgründe</w:t>
      </w:r>
    </w:p>
    <w:p w14:paraId="220319F3"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C0748D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 129 des Strafgesetzbuchs (Bildung krimineller Vereinigungen), § 129a des Strafgesetzbuchs (Bildung terroristischer Vereinigungen) oder § 129b des Strafgesetzbuchs (Kriminelle und terroristische Vereinigungen im Ausland),</w:t>
      </w:r>
    </w:p>
    <w:p w14:paraId="6E82E1A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E16E93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 261 des Strafgesetzbuchs (Geldwäsche),</w:t>
      </w:r>
    </w:p>
    <w:p w14:paraId="3FFE4D2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 263 des Strafgesetzbuchs (Betrug), soweit sich die Straftat gegen den Haushalt der Europäischen Union oder gegen Haushalte richtet, die von der Europäischen Union oder in ihrem Auftrag verwaltet werden,</w:t>
      </w:r>
    </w:p>
    <w:p w14:paraId="19E1DCE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 264 des Strafgesetzbuchs (Subventionsbetrug), soweit sich die Straftat gegen den Haushalt der Europäischen Union oder gegen Haushalte richtet, die von der Europäischen Union oder in ihrem Auftrag verwaltet werden,</w:t>
      </w:r>
    </w:p>
    <w:p w14:paraId="08E3812D"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6. § 299 des Strafgesetzbuchs (Bestechlichkeit und Bestechung im geschäftlichen Verkehr), §§ 299a und 299b des Strafgesetzbuchs (Bestechlichkeit und Bestechung im Gesundheitswesen),</w:t>
      </w:r>
    </w:p>
    <w:p w14:paraId="1ADF623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7. § 108e des Strafgesetzbuchs (Bestechlichkeit und Bestechung von Mandatsträgern) oder § </w:t>
      </w:r>
      <w:hyperlink r:id="rId18" w:history="1">
        <w:r w:rsidRPr="009732B7">
          <w:rPr>
            <w:rFonts w:eastAsia="Times New Roman"/>
            <w:lang w:eastAsia="de-DE"/>
          </w:rPr>
          <w:t>108f</w:t>
        </w:r>
      </w:hyperlink>
      <w:r w:rsidRPr="009732B7">
        <w:rPr>
          <w:rFonts w:eastAsia="Times New Roman"/>
          <w:lang w:eastAsia="de-DE"/>
        </w:rPr>
        <w:t> des Strafgesetzbuchs (unzulässige Interessenwahrnehmung),</w:t>
      </w:r>
    </w:p>
    <w:p w14:paraId="06C844D5"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8. den §§ 333 und 334 des Strafgesetzbuchs (Vorteilsgewährung und Bestechung), jeweils auch in Verbindung mit § 335a des Strafgesetzbuchs (Ausländische und internationale Bedienstete),</w:t>
      </w:r>
    </w:p>
    <w:p w14:paraId="4C05593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9. Artikel 2 § 2 des Gesetzes zur Bekämpfung internationaler Bestechung (Bestechung ausländischer Abgeordneter im Zusammenhang mit internationalem Geschäftsverkehr) oder</w:t>
      </w:r>
    </w:p>
    <w:p w14:paraId="043CC23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10. den §§ 232, 232a Absatz 1 bis 5, den §§ 232b bis 233a des Strafgesetzbuches (Menschenhandel, Zwangsprostitution, Zwangsarbeit, Ausbeutung der Arbeitskraft, Ausbeutung unter Ausnutzung einer Freiheitsberaubung).</w:t>
      </w:r>
    </w:p>
    <w:p w14:paraId="29F47288"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(2) Einer Verurteilung oder der Festsetzung einer Geldbuße im Sinne des Absatzes 1 stehen eine Verurteilung oder die Festsetzung einer Geldbuße nach den vergleichbaren Vorschriften anderer Staaten gleich.</w:t>
      </w:r>
    </w:p>
    <w:p w14:paraId="21DA931D"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94A92D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Öffentliche Auftraggeber schließen ein Unternehmen zu jedem Zeitpunkt des Vergabeverfahrens von der Teilnahme an einem Vergabeverfahren aus, wenn</w:t>
      </w:r>
    </w:p>
    <w:p w14:paraId="1CF0B4CD"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seinen Verpflichtungen zur Zahlung von Steuern, Abgaben oder Beiträgen zur Sozialversicherung nicht nachgekommen ist und dies durch eine rechtskräftige Gerichts- oder bestandskräftige Verwaltungsentscheidung festgestellt wurde oder</w:t>
      </w:r>
    </w:p>
    <w:p w14:paraId="5954DCC3"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die öffentlichen Auftraggeber auf sonstige geeignete Weise die Verletzung einer Verpflichtung nach Nummer 1 nachweisen können.</w:t>
      </w:r>
    </w:p>
    <w:p w14:paraId="27A5F8D6"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2547F4F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548DB605" w14:textId="77777777" w:rsidR="009732B7" w:rsidRPr="009732B7" w:rsidRDefault="009732B7" w:rsidP="009732B7">
      <w:pPr>
        <w:widowControl/>
        <w:autoSpaceDE/>
        <w:autoSpaceDN/>
        <w:spacing w:before="120" w:after="120" w:line="312" w:lineRule="auto"/>
        <w:jc w:val="both"/>
        <w:rPr>
          <w:rFonts w:eastAsia="Times New Roman"/>
          <w:lang w:eastAsia="de-DE"/>
        </w:rPr>
      </w:pPr>
    </w:p>
    <w:p w14:paraId="5B8CB52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400F9DF9" w14:textId="77777777" w:rsidR="009732B7" w:rsidRPr="009732B7" w:rsidRDefault="009732B7" w:rsidP="009732B7">
      <w:pPr>
        <w:widowControl/>
        <w:autoSpaceDE/>
        <w:autoSpaceDN/>
        <w:spacing w:before="120" w:after="120" w:line="312" w:lineRule="auto"/>
        <w:rPr>
          <w:rFonts w:eastAsia="Lucida Sans Unicode"/>
          <w:b/>
          <w:lang w:eastAsia="zh-CN"/>
        </w:rPr>
      </w:pPr>
      <w:r w:rsidRPr="009732B7">
        <w:rPr>
          <w:rFonts w:eastAsia="Lucida Sans Unicode"/>
          <w:b/>
          <w:lang w:eastAsia="zh-CN"/>
        </w:rPr>
        <w:lastRenderedPageBreak/>
        <w:t>Anhang 2</w:t>
      </w:r>
    </w:p>
    <w:p w14:paraId="322C2164"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124 GWB Fakultative Ausschlussgründe</w:t>
      </w:r>
    </w:p>
    <w:p w14:paraId="6209BB3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Öffentliche Auftraggeber können unter Berücksichtigung des Grundsatzes der Verhältnismäßigkeit ein Unternehmen zu jedem Zeitpunkt des Vergabeverfahrens von der Teilnahme an einem Vergabeverfahren ausschließen, wenn</w:t>
      </w:r>
    </w:p>
    <w:p w14:paraId="2A5F13A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1. das Unternehmen bei der Ausführung öffentlicher Aufträge nachweislich gegen geltende umwelt-, sozial- oder arbeitsrechtliche Verpflichtungen verstoßen hat,</w:t>
      </w:r>
    </w:p>
    <w:p w14:paraId="1C82BBA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E64B28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das Unternehmen im Rahmen der beruflichen Tätigkeit nachweislich eine schwere Verfehlung begangen hat, durch die die Integrität des Unternehmens infrage gestellt wird; § 123 Absatz 3 ist entsprechend anzuwenden,</w:t>
      </w:r>
    </w:p>
    <w:p w14:paraId="5822CBB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49EE65C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9C26604"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6. eine Wettbewerbsverzerrung daraus resultiert, dass das Unternehmen bereits in die Vorbereitung des Vergabeverfahrens einbezogen war, und diese Wettbewerbsverzerrung nicht durch andere, weniger einschneidende Maßnahmen beseitigt werden kann,</w:t>
      </w:r>
    </w:p>
    <w:p w14:paraId="11D09D8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B389B2A"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8. das Unternehmen in Bezug auf Ausschlussgründe oder Eignungskriterien eine schwerwiegende Täuschung begangen oder Auskünfte zurückgehalten hat oder nicht in der Lage ist, die erforderlichen Nachweise zu übermitteln, oder</w:t>
      </w:r>
    </w:p>
    <w:p w14:paraId="15A5608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9. das Unternehmen</w:t>
      </w:r>
    </w:p>
    <w:p w14:paraId="04757683"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a) versucht hat, die Entscheidungsfindung des öffentlichen Auftraggebers in unzulässiger Weise zu beeinflussen,</w:t>
      </w:r>
    </w:p>
    <w:p w14:paraId="2950340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b) versucht hat, vertrauliche Informationen zu erhalten, durch die es unzulässige Vorteile beim Vergabeverfahren erlangen könnte, oder</w:t>
      </w:r>
    </w:p>
    <w:p w14:paraId="04E9432C"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c) fahrlässig oder vorsätzlich irreführende Informationen übermittelt hat, die die Vergabeentscheidung des öffentlichen Auftraggebers erheblich beeinflussen könnten, oder versucht hat, solche Informationen zu übermitteln.</w:t>
      </w:r>
    </w:p>
    <w:p w14:paraId="03C292CE"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 21 des Arbeitnehmer-Entsendegesetzes, § 98c des Aufenthaltsgesetzes, § 19 des Mindestlohngesetzes, § 21 des Schwarzarbeitsbekämpfungsgesetzes und § 22 des Lieferkettensorgfaltspflichtengesetzes vom 16. Juli 2021 (BGBl. I S. 2959) bleiben unberührt.</w:t>
      </w:r>
    </w:p>
    <w:p w14:paraId="5A869591"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br w:type="page"/>
      </w:r>
    </w:p>
    <w:p w14:paraId="7824C65F"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3</w:t>
      </w:r>
    </w:p>
    <w:p w14:paraId="35DB1D87"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19 MiLoG Ausschluss von der Vergabe öffentlicher Aufträge</w:t>
      </w:r>
    </w:p>
    <w:p w14:paraId="320896FD"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0E9544AD"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F784F62"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58A0E5D"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(4) Bei Aufträgen ab einer Höhe von 30.000 Euro fordert der öffentliche Auftraggeber nach Absatz 2 für die Bewerberin oder den Bewerber, die oder der den Zuschlag erhalten soll, vor der Zuschlagserteilung eine Auskunft aus dem Wettbewerbsregister an.</w:t>
      </w:r>
    </w:p>
    <w:p w14:paraId="6C55BC41"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(5) Vor der Entscheidung über den Ausschluss ist die Bewerberin oder der Bewerber zu hören.</w:t>
      </w:r>
      <w:r w:rsidRPr="009732B7">
        <w:rPr>
          <w:rFonts w:eastAsia="Times New Roman"/>
          <w:lang w:eastAsia="de-DE"/>
        </w:rPr>
        <w:br w:type="page"/>
      </w:r>
    </w:p>
    <w:p w14:paraId="30240BD7" w14:textId="77777777" w:rsidR="009732B7" w:rsidRPr="009732B7" w:rsidRDefault="009732B7" w:rsidP="009732B7">
      <w:pPr>
        <w:widowControl/>
        <w:autoSpaceDE/>
        <w:autoSpaceDN/>
        <w:spacing w:before="600" w:after="240" w:line="312" w:lineRule="auto"/>
        <w:outlineLvl w:val="1"/>
        <w:rPr>
          <w:rFonts w:eastAsia="Times New Roman"/>
          <w:b/>
          <w:bCs/>
          <w:kern w:val="36"/>
          <w:lang w:eastAsia="de-DE"/>
        </w:rPr>
      </w:pPr>
      <w:r w:rsidRPr="009732B7">
        <w:rPr>
          <w:rFonts w:eastAsia="Times New Roman"/>
          <w:b/>
          <w:bCs/>
          <w:kern w:val="36"/>
          <w:lang w:eastAsia="de-DE"/>
        </w:rPr>
        <w:lastRenderedPageBreak/>
        <w:t>§ 21 MiLoG Bußgeldvorschriften</w:t>
      </w:r>
    </w:p>
    <w:p w14:paraId="71E70541"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Ordnungswidrig handelt, wer vorsätzlich oder fahrlässig </w:t>
      </w:r>
    </w:p>
    <w:p w14:paraId="46C179C3"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15 Satz 1 in Verbindung mit § 5 Absatz 1 Satz 1 des Schwarzarbeitsbekämpfungsgesetzes eine Prüfung nicht duldet oder bei einer Prüfung nicht mitwirkt,</w:t>
      </w:r>
    </w:p>
    <w:p w14:paraId="0768FE18"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entgegen § 15 Satz 1 in Verbindung mit § 5 Absatz 1 Satz 2 des Schwarzarbeitsbekämpfungsgesetzes das Betreten eines Grundstücks oder Geschäftsraums nicht duldet,</w:t>
      </w:r>
    </w:p>
    <w:p w14:paraId="61E8806F"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3. </w:t>
      </w:r>
      <w:r w:rsidRPr="009732B7">
        <w:rPr>
          <w:rFonts w:eastAsia="Times New Roman"/>
          <w:lang w:eastAsia="de-DE"/>
        </w:rPr>
        <w:tab/>
        <w:t>entgegen § 15 Satz 1 in Verbindung mit § 5 Absatz 3 Satz 1 des Schwarzarbeitsbekämpfungsgesetzes Daten nicht, nicht richtig, nicht vollständig, nicht in der vorgeschriebenen Weise oder nicht rechtzeitig übermittelt,</w:t>
      </w:r>
    </w:p>
    <w:p w14:paraId="2F94187D"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4. </w:t>
      </w:r>
      <w:r w:rsidRPr="009732B7">
        <w:rPr>
          <w:rFonts w:eastAsia="Times New Roman"/>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5F7C380B"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5. </w:t>
      </w:r>
      <w:r w:rsidRPr="009732B7">
        <w:rPr>
          <w:rFonts w:eastAsia="Times New Roman"/>
          <w:lang w:eastAsia="de-DE"/>
        </w:rPr>
        <w:tab/>
        <w:t>entgegen § 16 Absatz 1 Satz 3, auch in Verbindung mit Absatz 3 Satz 2, eine Änderungsmeldung nicht, nicht richtig, nicht vollständig, nicht in der vorgeschriebenen Weise oder nicht rechtzeitig macht,</w:t>
      </w:r>
    </w:p>
    <w:p w14:paraId="3B7EE686"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6. </w:t>
      </w:r>
      <w:r w:rsidRPr="009732B7">
        <w:rPr>
          <w:rFonts w:eastAsia="Times New Roman"/>
          <w:lang w:eastAsia="de-DE"/>
        </w:rPr>
        <w:tab/>
        <w:t>entgegen § 16 Absatz 2 oder 4 eine Versicherung nicht, nicht richtig oder nicht rechtzeitig beifügt,</w:t>
      </w:r>
    </w:p>
    <w:p w14:paraId="0E5E6512"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7. </w:t>
      </w:r>
      <w:r w:rsidRPr="009732B7">
        <w:rPr>
          <w:rFonts w:eastAsia="Times New Roman"/>
          <w:lang w:eastAsia="de-DE"/>
        </w:rPr>
        <w:tab/>
        <w:t>entgegen § 17 Absatz 1 Satz 1, auch in Verbindung mit Satz 2, eine Aufzeichnung nicht, nicht richtig, nicht vollständig oder nicht rechtzeitig erstellt oder nicht oder nicht mindestens zwei Jahre aufbewahrt,</w:t>
      </w:r>
    </w:p>
    <w:p w14:paraId="56581477"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8. </w:t>
      </w:r>
      <w:r w:rsidRPr="009732B7">
        <w:rPr>
          <w:rFonts w:eastAsia="Times New Roman"/>
          <w:lang w:eastAsia="de-DE"/>
        </w:rPr>
        <w:tab/>
        <w:t>entgegen § 17 Absatz 2 eine Unterlage nicht, nicht richtig, nicht vollständig oder nicht in der vorgeschriebenen Weise bereithält oder</w:t>
      </w:r>
    </w:p>
    <w:p w14:paraId="0C160A87"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9. </w:t>
      </w:r>
      <w:r w:rsidRPr="009732B7">
        <w:rPr>
          <w:rFonts w:eastAsia="Times New Roman"/>
          <w:lang w:eastAsia="de-DE"/>
        </w:rPr>
        <w:tab/>
        <w:t>entgegen § 20 das dort genannte Arbeitsentgelt nicht oder nicht rechtzeitig zahlt.</w:t>
      </w:r>
    </w:p>
    <w:p w14:paraId="449E82BB"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100A27CA"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entgegen § 20 das dort genannte Arbeitsentgelt nicht oder nicht rechtzeitig zahlt oder</w:t>
      </w:r>
    </w:p>
    <w:p w14:paraId="70A51A6A"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einen Nachunternehmer einsetzt oder zulässt, dass ein Nachunternehmer tätig wird, der entgegen § 20 das dort genannte Arbeitsentgelt nicht oder nicht rechtzeitig zahlt.</w:t>
      </w:r>
    </w:p>
    <w:p w14:paraId="08F350E4"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lastRenderedPageBreak/>
        <w:t>(3) Die Ordnungswidrigkeit kann in den Fällen des Absatzes 1 Nummer 9 und des Absatzes 2 mit einer Geldbuße bis zu fünfhunderttausend Euro, in den übrigen Fällen mit einer Geldbuße bis zu dreißigtausend Euro geahndet werden.</w:t>
      </w:r>
    </w:p>
    <w:p w14:paraId="7973026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(4) Verwaltungsbehörden im Sinne des § 36 Absatz 1 Nummer 1 des Gesetzes über Ordnungswidrigkeiten sind die in § 14 genannten Behörden jeweils für ihren Geschäftsbereich.</w:t>
      </w:r>
    </w:p>
    <w:p w14:paraId="4C2F5559"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4EEA18F7" w14:textId="77777777" w:rsidR="009732B7" w:rsidRPr="009732B7" w:rsidRDefault="009732B7" w:rsidP="009732B7">
      <w:pPr>
        <w:widowControl/>
        <w:autoSpaceDE/>
        <w:autoSpaceDN/>
        <w:spacing w:line="312" w:lineRule="auto"/>
        <w:rPr>
          <w:rFonts w:eastAsia="Lucida Sans Unicode"/>
          <w:lang w:eastAsia="zh-CN"/>
        </w:rPr>
      </w:pPr>
      <w:r w:rsidRPr="009732B7">
        <w:rPr>
          <w:rFonts w:eastAsia="Lucida Sans Unicode"/>
          <w:lang w:eastAsia="zh-CN"/>
        </w:rPr>
        <w:br w:type="page"/>
      </w:r>
    </w:p>
    <w:p w14:paraId="05CC8936"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4</w:t>
      </w:r>
    </w:p>
    <w:p w14:paraId="12B8890E"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AEntG Ausschluss von der Vergabe öffentlicher Aufträge</w:t>
      </w:r>
    </w:p>
    <w:p w14:paraId="4C6E868C"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472C85FF"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21D5903"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(3) Öffentliche Auftraggeber nach Absatz 2 fordern im Rahmen ihrer Tätigkeit beim Wettbewerbsregister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0AEC859C" w14:textId="77777777" w:rsidR="009732B7" w:rsidRPr="009732B7" w:rsidRDefault="009732B7" w:rsidP="009732B7">
      <w:pPr>
        <w:widowControl/>
        <w:autoSpaceDE/>
        <w:autoSpaceDN/>
        <w:spacing w:before="120" w:after="120" w:line="264" w:lineRule="auto"/>
        <w:rPr>
          <w:rFonts w:eastAsia="Times New Roman"/>
          <w:lang w:eastAsia="de-DE"/>
        </w:rPr>
      </w:pPr>
      <w:r w:rsidRPr="009732B7">
        <w:rPr>
          <w:rFonts w:eastAsia="Times New Roman"/>
          <w:lang w:eastAsia="de-DE"/>
        </w:rPr>
        <w:t>(4) Bei Aufträgen ab einer Höhe von 30.000 Euro fordert der öffentliche Auftraggeber nach Absatz 2 für den Bewerber oder die Bewerberin, der oder die den Zuschlag erhalten soll, vor der Zuschlagserteilung eine Auskunft aus dem Wettbewerbsregister an.</w:t>
      </w:r>
    </w:p>
    <w:p w14:paraId="2ECE6A05" w14:textId="77777777" w:rsidR="009732B7" w:rsidRPr="009732B7" w:rsidRDefault="009732B7" w:rsidP="009732B7">
      <w:pPr>
        <w:widowControl/>
        <w:autoSpaceDE/>
        <w:autoSpaceDN/>
        <w:spacing w:before="120" w:after="120" w:line="264" w:lineRule="auto"/>
        <w:rPr>
          <w:rFonts w:eastAsia="Lucida Sans Unicode"/>
          <w:lang w:eastAsia="zh-CN"/>
        </w:rPr>
      </w:pPr>
      <w:r w:rsidRPr="009732B7">
        <w:rPr>
          <w:rFonts w:eastAsia="Times New Roman"/>
          <w:lang w:eastAsia="de-DE"/>
        </w:rPr>
        <w:t>(5) Vor der Entscheidung über den Ausschluss ist der Bewerber oder die Bewerberin zu hören.</w:t>
      </w:r>
      <w:r w:rsidRPr="009732B7">
        <w:rPr>
          <w:rFonts w:eastAsia="Lucida Sans Unicode"/>
          <w:lang w:eastAsia="zh-CN"/>
        </w:rPr>
        <w:br w:type="page"/>
      </w:r>
    </w:p>
    <w:p w14:paraId="3FC60C12" w14:textId="77777777" w:rsidR="009732B7" w:rsidRPr="009732B7" w:rsidRDefault="009732B7" w:rsidP="009732B7">
      <w:pPr>
        <w:widowControl/>
        <w:autoSpaceDE/>
        <w:autoSpaceDN/>
        <w:spacing w:before="100" w:beforeAutospacing="1" w:after="100" w:afterAutospacing="1" w:line="312" w:lineRule="auto"/>
        <w:outlineLvl w:val="1"/>
        <w:rPr>
          <w:rFonts w:eastAsia="Times New Roman"/>
          <w:b/>
          <w:bCs/>
          <w:kern w:val="36"/>
          <w:lang w:eastAsia="de-DE"/>
        </w:rPr>
      </w:pPr>
      <w:r w:rsidRPr="009732B7">
        <w:rPr>
          <w:rFonts w:eastAsia="Times New Roman"/>
          <w:b/>
          <w:bCs/>
          <w:kern w:val="36"/>
          <w:lang w:eastAsia="de-DE"/>
        </w:rPr>
        <w:lastRenderedPageBreak/>
        <w:t>§ 23 AEntG Bußgeldvorschriften</w:t>
      </w:r>
    </w:p>
    <w:p w14:paraId="2BC9E89B"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Ordnungswidrig handelt, wer vorsätzlich oder fahrlässig</w:t>
      </w:r>
    </w:p>
    <w:p w14:paraId="7BED4285"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w:t>
      </w:r>
    </w:p>
    <w:p w14:paraId="581DDBB4"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17 Satz 1 in Verbindung mit § 5 Abs. 1 Satz 1 Nummer 1 oder 3 des Schwarzarbeitsbekämpfungsgesetzes eine Prüfung nicht duldet oder bei einer Prüfung nicht mitwirkt,</w:t>
      </w:r>
    </w:p>
    <w:p w14:paraId="0C827E1B"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17 Satz 1 in Verbindung mit § 5 Abs. 1 Satz 1 Nummer 2 des Schwarzarbeitsbekämpfungsgesetzes das Betreten eines Grundstücks oder Geschäftsraums nicht duldet,</w:t>
      </w:r>
    </w:p>
    <w:p w14:paraId="052C9300"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17 Satz 1 in Verbindung mit § 5 Absatz 5 Satz 1 des Schwarzarbeitsbekämpfungsgesetzes Daten nicht, nicht richtig, nicht vollständig, nicht in der vorgeschriebenen Weise oder nicht rechtzeitig übermittelt,</w:t>
      </w:r>
    </w:p>
    <w:p w14:paraId="1A101B87"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76FCCA2E"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18 Abs. 1 Satz 3, auch in Verbindung mit Absatz 3 Satz 2, eine Änderungsmeldung nicht, nicht richtig, nicht vollständig, nicht in der vorgeschriebenen Weise oder nicht rechtzeitig macht,</w:t>
      </w:r>
    </w:p>
    <w:p w14:paraId="5AE53322"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18 Abs. 2 oder 4 eine Versicherung nicht, nicht richtig oder nicht rechtzeitig beifügt,</w:t>
      </w:r>
    </w:p>
    <w:p w14:paraId="25E772E6"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19 Absatz 1 Satz 1, auch in Verbindung mit Satz 2, eine Aufzeichnung nicht, nicht richtig, nicht vollständig oder nicht rechtzeitig erstellt oder nicht oder nicht mindestens zwei Jahre aufbewahrt oder</w:t>
      </w:r>
    </w:p>
    <w:p w14:paraId="3B2FA956" w14:textId="77777777" w:rsidR="009732B7" w:rsidRPr="009732B7" w:rsidRDefault="009732B7" w:rsidP="009732B7">
      <w:pPr>
        <w:widowControl/>
        <w:numPr>
          <w:ilvl w:val="0"/>
          <w:numId w:val="20"/>
        </w:numPr>
        <w:autoSpaceDE/>
        <w:autoSpaceDN/>
        <w:spacing w:before="120" w:after="120" w:line="312" w:lineRule="auto"/>
        <w:contextualSpacing/>
        <w:rPr>
          <w:rFonts w:eastAsia="Times New Roman"/>
          <w:lang w:eastAsia="de-DE"/>
        </w:rPr>
      </w:pPr>
      <w:r w:rsidRPr="009732B7">
        <w:rPr>
          <w:rFonts w:eastAsia="Times New Roman"/>
          <w:lang w:eastAsia="de-DE"/>
        </w:rPr>
        <w:t>entgegen § 19 Abs. 2 eine Unterlage nicht, nicht richtig, nicht vollständig oder nicht in der vorgeschriebenen Weise bereithält.</w:t>
      </w:r>
    </w:p>
    <w:p w14:paraId="2E802288"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 Ordnungswidrig handelt, wer Werk- oder Dienstleistungen in erheblichem Umfang ausführen lässt, indem er als Unternehmer einen anderen Unternehmer beauftragt, von dem er weiß oder fahrlässig nicht weiß, dass dieser bei der Erfüllung dieses Auftrags</w:t>
      </w:r>
    </w:p>
    <w:p w14:paraId="04B99087" w14:textId="77777777" w:rsidR="009732B7" w:rsidRPr="009732B7" w:rsidRDefault="009732B7" w:rsidP="009732B7">
      <w:pPr>
        <w:widowControl/>
        <w:autoSpaceDE/>
        <w:autoSpaceDN/>
        <w:spacing w:before="120" w:after="120" w:line="312" w:lineRule="auto"/>
        <w:rPr>
          <w:rFonts w:eastAsia="Times New Roman"/>
          <w:lang w:eastAsia="de-DE"/>
        </w:rPr>
      </w:pPr>
    </w:p>
    <w:p w14:paraId="5DEA4BB4" w14:textId="77777777" w:rsidR="009732B7" w:rsidRPr="009732B7" w:rsidRDefault="009732B7" w:rsidP="009732B7">
      <w:pPr>
        <w:widowControl/>
        <w:numPr>
          <w:ilvl w:val="0"/>
          <w:numId w:val="21"/>
        </w:numPr>
        <w:autoSpaceDE/>
        <w:autoSpaceDN/>
        <w:spacing w:before="120" w:after="120" w:line="312" w:lineRule="auto"/>
        <w:contextualSpacing/>
        <w:rPr>
          <w:rFonts w:eastAsia="Times New Roman"/>
          <w:lang w:eastAsia="de-DE"/>
        </w:rPr>
      </w:pPr>
      <w:r w:rsidRPr="009732B7">
        <w:rPr>
          <w:rFonts w:eastAsia="Times New Roman"/>
          <w:lang w:eastAsia="de-DE"/>
        </w:rPr>
        <w:t>entgegen § 8 Abs. 1 Satz 1 oder Abs. 3 eine Arbeitsbedingung, deren Einhaltung nach § 16 von den Behörden der Zollverwaltung geprüft wird, nicht oder nicht rechtzeitig gewährt oder einen Beitrag nicht oder nicht rechtzeitig leistet oder</w:t>
      </w:r>
    </w:p>
    <w:p w14:paraId="00672F3B" w14:textId="77777777" w:rsidR="009732B7" w:rsidRPr="009732B7" w:rsidRDefault="009732B7" w:rsidP="009732B7">
      <w:pPr>
        <w:widowControl/>
        <w:numPr>
          <w:ilvl w:val="0"/>
          <w:numId w:val="21"/>
        </w:numPr>
        <w:autoSpaceDE/>
        <w:autoSpaceDN/>
        <w:spacing w:before="120" w:after="120" w:line="312" w:lineRule="auto"/>
        <w:contextualSpacing/>
        <w:rPr>
          <w:rFonts w:eastAsia="Times New Roman"/>
          <w:lang w:eastAsia="de-DE"/>
        </w:rPr>
      </w:pPr>
      <w:r w:rsidRPr="009732B7">
        <w:rPr>
          <w:rFonts w:eastAsia="Times New Roman"/>
          <w:lang w:eastAsia="de-DE"/>
        </w:rPr>
        <w:lastRenderedPageBreak/>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118BA10F"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Die Ordnungswidrigkeit kann in den Fällen des Absatzes 1 Nr. 1 und des Absatzes 2 mit einer Geldbuße bis zu fünfhunderttausend Euro, in den übrigen Fällen mit einer Geldbuße bis zu dreißigtausend Euro geahndet werden.</w:t>
      </w:r>
    </w:p>
    <w:p w14:paraId="34AE7FE3"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(4) Verwaltungsbehörden im Sinne des § 36 Abs. 1 Nr. 1 des Gesetzes über Ordnungswidrigkeiten sind die in § 16 genannten Behörden jeweils für ihren Geschäftsbereich.</w:t>
      </w:r>
    </w:p>
    <w:p w14:paraId="256CFB98" w14:textId="77777777" w:rsidR="009732B7" w:rsidRPr="009732B7" w:rsidRDefault="009732B7" w:rsidP="009732B7">
      <w:pPr>
        <w:widowControl/>
        <w:autoSpaceDE/>
        <w:autoSpaceDN/>
        <w:spacing w:before="120" w:after="120" w:line="312" w:lineRule="auto"/>
        <w:rPr>
          <w:rFonts w:eastAsia="Lucida Sans Unicode"/>
          <w:lang w:eastAsia="zh-CN"/>
        </w:rPr>
      </w:pPr>
      <w:r w:rsidRPr="009732B7">
        <w:rPr>
          <w:rFonts w:eastAsia="Times New Roman"/>
          <w:lang w:eastAsia="de-DE"/>
        </w:rPr>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r w:rsidRPr="009732B7">
        <w:rPr>
          <w:rFonts w:eastAsia="Lucida Sans Unicode"/>
          <w:lang w:eastAsia="zh-CN"/>
        </w:rPr>
        <w:br w:type="page"/>
      </w:r>
    </w:p>
    <w:p w14:paraId="60FCB0E3"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5</w:t>
      </w:r>
    </w:p>
    <w:p w14:paraId="591AD6EB"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98c AufenthG Ausschluss von der Vergabe öffentlicher Aufträge</w:t>
      </w:r>
    </w:p>
    <w:p w14:paraId="75B3E922"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1203AF8C"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1. </w:t>
      </w:r>
      <w:r w:rsidRPr="009732B7">
        <w:rPr>
          <w:rFonts w:eastAsia="Times New Roman"/>
          <w:lang w:eastAsia="de-DE"/>
        </w:rPr>
        <w:tab/>
        <w:t>nach § 404 Absatz 2 Nummer 3 des Dritten Buches Sozialgesetzbuch mit einer Geldbuße von wenigstens Zweitausendfünfhundert Euro rechtskräftig belegt worden ist oder</w:t>
      </w:r>
    </w:p>
    <w:p w14:paraId="32723A71" w14:textId="77777777" w:rsidR="009732B7" w:rsidRPr="009732B7" w:rsidRDefault="009732B7" w:rsidP="009732B7">
      <w:pPr>
        <w:widowControl/>
        <w:autoSpaceDE/>
        <w:autoSpaceDN/>
        <w:spacing w:before="120" w:after="120" w:line="312" w:lineRule="auto"/>
        <w:ind w:left="426" w:hanging="426"/>
        <w:jc w:val="both"/>
        <w:rPr>
          <w:rFonts w:eastAsia="Times New Roman"/>
          <w:lang w:eastAsia="de-DE"/>
        </w:rPr>
      </w:pPr>
      <w:r w:rsidRPr="009732B7">
        <w:rPr>
          <w:rFonts w:eastAsia="Times New Roman"/>
          <w:lang w:eastAsia="de-DE"/>
        </w:rPr>
        <w:t xml:space="preserve">2. </w:t>
      </w:r>
      <w:r w:rsidRPr="009732B7">
        <w:rPr>
          <w:rFonts w:eastAsia="Times New Roman"/>
          <w:lang w:eastAsia="de-DE"/>
        </w:rPr>
        <w:tab/>
        <w:t>nach den §§ 10, 10a oder 11 des Schwarzarbeitsbekämpfungsgesetzes zu einer Freiheitsstrafe von mehr als drei Monaten oder einer Geldstrafe von mehr als 90 Tagessätzen rechtskräftig verurteilt worden ist.</w:t>
      </w:r>
    </w:p>
    <w:p w14:paraId="6338DDCF"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17A24976"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(2) Absatz 1 gilt nicht, wenn der Verstoß nach Absatz 1 Satz 1 darin bestand, dass ein Unionsbürger rechtswidrig beschäftigt wurde.</w:t>
      </w:r>
    </w:p>
    <w:p w14:paraId="47E8DFA0" w14:textId="77777777" w:rsidR="009732B7" w:rsidRPr="009732B7" w:rsidRDefault="009732B7" w:rsidP="009732B7">
      <w:pPr>
        <w:widowControl/>
        <w:autoSpaceDE/>
        <w:autoSpaceDN/>
        <w:spacing w:before="120" w:after="120" w:line="312" w:lineRule="auto"/>
        <w:jc w:val="both"/>
        <w:rPr>
          <w:rFonts w:eastAsia="Times New Roman"/>
          <w:lang w:eastAsia="de-DE"/>
        </w:rPr>
      </w:pPr>
      <w:r w:rsidRPr="009732B7">
        <w:rPr>
          <w:rFonts w:eastAsia="Times New Roman"/>
          <w:lang w:eastAsia="de-DE"/>
        </w:rPr>
        <w:t>(3) Macht ein öffentlicher Auftraggeber von der Möglichkeit nach Absatz 1 Gebrauch, gilt § 21 Absatz 2 bis 5 des Arbeitnehmer-Entsendegesetzes entsprechend.</w:t>
      </w:r>
    </w:p>
    <w:p w14:paraId="4BD7D9F6" w14:textId="77777777" w:rsidR="009732B7" w:rsidRPr="009732B7" w:rsidRDefault="009732B7" w:rsidP="009732B7">
      <w:pPr>
        <w:widowControl/>
        <w:autoSpaceDE/>
        <w:autoSpaceDN/>
        <w:spacing w:line="312" w:lineRule="auto"/>
        <w:rPr>
          <w:rFonts w:eastAsia="Lucida Sans Unicode"/>
          <w:lang w:eastAsia="zh-CN"/>
        </w:rPr>
      </w:pPr>
      <w:r w:rsidRPr="009732B7">
        <w:rPr>
          <w:rFonts w:eastAsia="Lucida Sans Unicode"/>
          <w:lang w:eastAsia="zh-CN"/>
        </w:rPr>
        <w:br w:type="page"/>
      </w:r>
    </w:p>
    <w:p w14:paraId="32D18E3B" w14:textId="77777777" w:rsidR="009732B7" w:rsidRPr="009732B7" w:rsidRDefault="009732B7" w:rsidP="009732B7">
      <w:pPr>
        <w:widowControl/>
        <w:autoSpaceDE/>
        <w:autoSpaceDN/>
        <w:spacing w:line="312" w:lineRule="auto"/>
        <w:rPr>
          <w:rFonts w:eastAsia="Lucida Sans Unicode"/>
          <w:b/>
          <w:lang w:eastAsia="zh-CN"/>
        </w:rPr>
      </w:pPr>
      <w:r w:rsidRPr="009732B7">
        <w:rPr>
          <w:rFonts w:eastAsia="Lucida Sans Unicode"/>
          <w:b/>
          <w:lang w:eastAsia="zh-CN"/>
        </w:rPr>
        <w:lastRenderedPageBreak/>
        <w:t>Anhang 6</w:t>
      </w:r>
    </w:p>
    <w:p w14:paraId="2C4A3B6F" w14:textId="77777777" w:rsidR="009732B7" w:rsidRPr="009732B7" w:rsidRDefault="009732B7" w:rsidP="009732B7">
      <w:pPr>
        <w:widowControl/>
        <w:autoSpaceDE/>
        <w:autoSpaceDN/>
        <w:spacing w:before="240" w:after="240" w:line="312" w:lineRule="auto"/>
        <w:outlineLvl w:val="1"/>
        <w:rPr>
          <w:rFonts w:eastAsia="Times New Roman"/>
          <w:b/>
          <w:bCs/>
          <w:kern w:val="36"/>
          <w:lang w:eastAsia="de-DE"/>
        </w:rPr>
      </w:pPr>
      <w:r w:rsidRPr="009732B7">
        <w:rPr>
          <w:rFonts w:eastAsia="Times New Roman"/>
          <w:b/>
          <w:bCs/>
          <w:kern w:val="36"/>
          <w:lang w:eastAsia="de-DE"/>
        </w:rPr>
        <w:t>§ 21 SchwarzArbG Ausschluss von öffentlichen Aufträgen</w:t>
      </w:r>
    </w:p>
    <w:p w14:paraId="36D6EE89"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6E89D61C"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8 Abs. 1 Nr. 2, §§ 10 bis 11,</w:t>
      </w:r>
    </w:p>
    <w:p w14:paraId="38E7CFEE"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404 Abs. 1 oder 2 Nr. 3 des Dritten Buches Sozialgesetzbuch,</w:t>
      </w:r>
    </w:p>
    <w:p w14:paraId="3020BCB2"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15, 15a, 16 Abs. 1 Nr. 1, 1c, 1d, 1f oder 2 des Arbeitnehmerüberlassungsgesetzes oder</w:t>
      </w:r>
    </w:p>
    <w:p w14:paraId="72F3CD55" w14:textId="77777777" w:rsidR="009732B7" w:rsidRPr="009732B7" w:rsidRDefault="009732B7" w:rsidP="009732B7">
      <w:pPr>
        <w:widowControl/>
        <w:numPr>
          <w:ilvl w:val="0"/>
          <w:numId w:val="22"/>
        </w:numPr>
        <w:autoSpaceDE/>
        <w:autoSpaceDN/>
        <w:spacing w:before="120" w:after="120" w:line="312" w:lineRule="auto"/>
        <w:ind w:left="748" w:hanging="391"/>
        <w:contextualSpacing/>
        <w:rPr>
          <w:rFonts w:eastAsia="Times New Roman"/>
          <w:lang w:eastAsia="de-DE"/>
        </w:rPr>
      </w:pPr>
      <w:r w:rsidRPr="009732B7">
        <w:rPr>
          <w:rFonts w:eastAsia="Times New Roman"/>
          <w:lang w:eastAsia="de-DE"/>
        </w:rPr>
        <w:t>§ 266a Abs. 1 bis 4 des Strafgesetzbuches</w:t>
      </w:r>
    </w:p>
    <w:p w14:paraId="0E191976"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5Für den Bewerber, der den Zuschlag erhalten soll, fordert der öffentliche Auftraggeber nach Satz 3 bei Aufträgen ab einer Höhe von 30.000 Euro vor Zuschlagserteilung eine Auskunft aus dem Wettbewerbsregister an. 6Der Bewerber ist vor der Entscheidung über den Ausschluss zu hören.</w:t>
      </w:r>
    </w:p>
    <w:p w14:paraId="73F286C6" w14:textId="77777777" w:rsidR="009732B7" w:rsidRPr="009732B7" w:rsidRDefault="009732B7" w:rsidP="009732B7">
      <w:pPr>
        <w:widowControl/>
        <w:autoSpaceDE/>
        <w:autoSpaceDN/>
        <w:spacing w:before="120" w:after="120" w:line="312" w:lineRule="auto"/>
        <w:rPr>
          <w:rFonts w:eastAsia="Lucida Sans Unicode"/>
          <w:lang w:eastAsia="zh-CN"/>
        </w:rPr>
      </w:pPr>
      <w:r w:rsidRPr="009732B7">
        <w:rPr>
          <w:rFonts w:eastAsia="Times New Roman"/>
          <w:lang w:eastAsia="de-DE"/>
        </w:rPr>
        <w:t>(2) Eine Verfehlung nach Absatz 1 steht einer Verletzung von Pflichten nach § 241 Abs. 2 des Bürgerlichen Gesetzbuchs gleich.</w:t>
      </w:r>
      <w:r w:rsidRPr="009732B7">
        <w:rPr>
          <w:rFonts w:eastAsia="Lucida Sans Unicode"/>
          <w:lang w:eastAsia="zh-CN"/>
        </w:rPr>
        <w:br w:type="page"/>
      </w:r>
    </w:p>
    <w:p w14:paraId="3A296200" w14:textId="77777777" w:rsidR="009732B7" w:rsidRPr="009732B7" w:rsidRDefault="009732B7" w:rsidP="009732B7">
      <w:pPr>
        <w:widowControl/>
        <w:autoSpaceDE/>
        <w:autoSpaceDN/>
        <w:spacing w:before="120" w:after="120" w:line="312" w:lineRule="auto"/>
        <w:jc w:val="both"/>
        <w:rPr>
          <w:rFonts w:eastAsia="Lucida Sans Unicode"/>
          <w:b/>
          <w:lang w:eastAsia="zh-CN"/>
        </w:rPr>
      </w:pPr>
      <w:r w:rsidRPr="009732B7">
        <w:rPr>
          <w:rFonts w:eastAsia="Lucida Sans Unicode"/>
          <w:b/>
          <w:lang w:eastAsia="zh-CN"/>
        </w:rPr>
        <w:lastRenderedPageBreak/>
        <w:t>Anhang 7</w:t>
      </w:r>
    </w:p>
    <w:p w14:paraId="60A16E71" w14:textId="77777777" w:rsidR="009732B7" w:rsidRPr="009732B7" w:rsidRDefault="009732B7" w:rsidP="009732B7">
      <w:pPr>
        <w:widowControl/>
        <w:autoSpaceDE/>
        <w:autoSpaceDN/>
        <w:spacing w:before="120" w:after="120" w:line="312" w:lineRule="auto"/>
        <w:jc w:val="both"/>
        <w:rPr>
          <w:rFonts w:eastAsia="Lucida Sans Unicode"/>
          <w:b/>
          <w:lang w:eastAsia="zh-CN"/>
        </w:rPr>
      </w:pPr>
      <w:r w:rsidRPr="009732B7">
        <w:rPr>
          <w:rFonts w:eastAsia="Lucida Sans Unicode"/>
          <w:b/>
          <w:lang w:eastAsia="zh-CN"/>
        </w:rPr>
        <w:t>§ 22 LkSG Ausschluss von der Vergabe öffentlicher Aufträge</w:t>
      </w:r>
    </w:p>
    <w:p w14:paraId="2C16DA17"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03B9738F"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 Ein Ausschluss nach Absatz 1 setzt einen rechtskräftig festgestellten Verstoß mit einer Geldbuße von wenigstens einhundertfünfundsiebzigtausend Euro voraus. Abweichend von Satz 1 wird</w:t>
      </w:r>
    </w:p>
    <w:p w14:paraId="7C92E832"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1. in den Fällen des § 24 Absatz 2 Satz 2 in Verbindung mit § 24 Absatz 2 Satz 1 Nummer 2 ein rechtskräftig festgestellter Verstoß mit einer Geldbuße von wenigstens eine Million fünfhunderttausend Euro,</w:t>
      </w:r>
    </w:p>
    <w:p w14:paraId="2AE2CFA9"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2.in den Fällen des § 24 Absatz 2 Satz 2 in Verbindung mit § 24 Absatz 2 Satz 1 Nummer 1 ein rechtskräftig festgestellter Verstoß mit einer Geldbuße von wenigstens zwei Millionen Euro und</w:t>
      </w:r>
    </w:p>
    <w:p w14:paraId="5A4545DC"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in den Fällen des § 24 Absatz 3 ein rechtskräftig festgestellter Verstoß mit einer Geldbuße von wenigstens 0,35 Prozent des durchschnittlichen Jahresumsatzes vorausgesetzt.</w:t>
      </w:r>
    </w:p>
    <w:p w14:paraId="2E95DCFE" w14:textId="77777777" w:rsidR="009732B7" w:rsidRPr="009732B7" w:rsidRDefault="009732B7" w:rsidP="009732B7">
      <w:pPr>
        <w:widowControl/>
        <w:autoSpaceDE/>
        <w:autoSpaceDN/>
        <w:spacing w:before="120" w:after="120" w:line="312" w:lineRule="auto"/>
        <w:rPr>
          <w:rFonts w:eastAsia="Times New Roman"/>
          <w:lang w:eastAsia="de-DE"/>
        </w:rPr>
      </w:pPr>
      <w:r w:rsidRPr="009732B7">
        <w:rPr>
          <w:rFonts w:eastAsia="Times New Roman"/>
          <w:lang w:eastAsia="de-DE"/>
        </w:rPr>
        <w:t>(3) Vor der Entscheidung über den Ausschluss ist der Bewerber zu hören.</w:t>
      </w:r>
    </w:p>
    <w:p w14:paraId="464BCE78" w14:textId="77777777" w:rsidR="009732B7" w:rsidRPr="009732B7" w:rsidRDefault="009732B7" w:rsidP="009732B7">
      <w:pPr>
        <w:widowControl/>
        <w:autoSpaceDE/>
        <w:autoSpaceDN/>
        <w:spacing w:before="120" w:after="120" w:line="312" w:lineRule="auto"/>
        <w:rPr>
          <w:rFonts w:eastAsia="Times New Roman"/>
          <w:lang w:eastAsia="de-DE"/>
        </w:rPr>
      </w:pPr>
    </w:p>
    <w:p w14:paraId="653CB565" w14:textId="77777777" w:rsidR="009732B7" w:rsidRPr="009732B7" w:rsidRDefault="009732B7" w:rsidP="009732B7">
      <w:pPr>
        <w:widowControl/>
        <w:autoSpaceDE/>
        <w:autoSpaceDN/>
        <w:spacing w:line="264" w:lineRule="auto"/>
        <w:rPr>
          <w:rFonts w:eastAsia="Lucida Sans Unicode"/>
          <w:b/>
          <w:lang w:eastAsia="zh-CN"/>
        </w:rPr>
      </w:pPr>
    </w:p>
    <w:p w14:paraId="6507E1CB" w14:textId="77777777" w:rsidR="009732B7" w:rsidRPr="009732B7" w:rsidRDefault="009732B7" w:rsidP="009732B7">
      <w:pPr>
        <w:widowControl/>
        <w:autoSpaceDE/>
        <w:autoSpaceDN/>
        <w:spacing w:line="264" w:lineRule="auto"/>
        <w:rPr>
          <w:rFonts w:eastAsia="Lucida Sans Unicode"/>
          <w:b/>
          <w:lang w:eastAsia="zh-CN"/>
        </w:rPr>
      </w:pPr>
    </w:p>
    <w:p w14:paraId="7A6E1D7B" w14:textId="77777777" w:rsidR="009732B7" w:rsidRPr="009732B7" w:rsidRDefault="009732B7" w:rsidP="009732B7">
      <w:pPr>
        <w:widowControl/>
        <w:autoSpaceDE/>
        <w:autoSpaceDN/>
        <w:spacing w:line="264" w:lineRule="auto"/>
        <w:rPr>
          <w:rFonts w:eastAsia="Lucida Sans Unicode"/>
          <w:b/>
          <w:lang w:eastAsia="zh-CN"/>
        </w:rPr>
      </w:pPr>
    </w:p>
    <w:p w14:paraId="6D6DF7BC" w14:textId="77777777" w:rsidR="009732B7" w:rsidRPr="009732B7" w:rsidRDefault="009732B7" w:rsidP="009732B7">
      <w:pPr>
        <w:widowControl/>
        <w:autoSpaceDE/>
        <w:autoSpaceDN/>
        <w:spacing w:line="264" w:lineRule="auto"/>
        <w:rPr>
          <w:rFonts w:eastAsia="Lucida Sans Unicode"/>
          <w:b/>
          <w:lang w:eastAsia="zh-CN"/>
        </w:rPr>
      </w:pPr>
    </w:p>
    <w:p w14:paraId="2EC5D179" w14:textId="77777777" w:rsidR="009732B7" w:rsidRPr="009732B7" w:rsidRDefault="009732B7" w:rsidP="009732B7">
      <w:pPr>
        <w:widowControl/>
        <w:autoSpaceDE/>
        <w:autoSpaceDN/>
        <w:spacing w:line="264" w:lineRule="auto"/>
        <w:rPr>
          <w:rFonts w:eastAsia="Lucida Sans Unicode"/>
          <w:b/>
          <w:lang w:eastAsia="zh-CN"/>
        </w:rPr>
      </w:pPr>
    </w:p>
    <w:p w14:paraId="7601D144" w14:textId="77777777" w:rsidR="009732B7" w:rsidRPr="009732B7" w:rsidRDefault="009732B7" w:rsidP="009732B7">
      <w:pPr>
        <w:widowControl/>
        <w:autoSpaceDE/>
        <w:autoSpaceDN/>
        <w:spacing w:line="264" w:lineRule="auto"/>
        <w:rPr>
          <w:rFonts w:eastAsia="Lucida Sans Unicode"/>
          <w:b/>
          <w:lang w:eastAsia="zh-CN"/>
        </w:rPr>
      </w:pPr>
    </w:p>
    <w:p w14:paraId="3EC61464" w14:textId="77777777" w:rsidR="009732B7" w:rsidRPr="009732B7" w:rsidRDefault="009732B7" w:rsidP="009732B7">
      <w:pPr>
        <w:widowControl/>
        <w:autoSpaceDE/>
        <w:autoSpaceDN/>
        <w:spacing w:line="264" w:lineRule="auto"/>
        <w:rPr>
          <w:rFonts w:eastAsia="Lucida Sans Unicode"/>
          <w:b/>
          <w:lang w:eastAsia="zh-CN"/>
        </w:rPr>
      </w:pPr>
    </w:p>
    <w:p w14:paraId="50090F60" w14:textId="77777777" w:rsidR="009732B7" w:rsidRPr="009732B7" w:rsidRDefault="009732B7" w:rsidP="009732B7">
      <w:pPr>
        <w:widowControl/>
        <w:autoSpaceDE/>
        <w:autoSpaceDN/>
        <w:spacing w:line="264" w:lineRule="auto"/>
        <w:rPr>
          <w:rFonts w:eastAsia="Lucida Sans Unicode"/>
          <w:b/>
          <w:lang w:eastAsia="zh-CN"/>
        </w:rPr>
      </w:pPr>
    </w:p>
    <w:p w14:paraId="069FC7EB" w14:textId="77777777" w:rsidR="009732B7" w:rsidRPr="009732B7" w:rsidRDefault="009732B7" w:rsidP="009732B7">
      <w:pPr>
        <w:widowControl/>
        <w:autoSpaceDE/>
        <w:autoSpaceDN/>
        <w:spacing w:line="264" w:lineRule="auto"/>
        <w:rPr>
          <w:rFonts w:eastAsia="Lucida Sans Unicode"/>
          <w:b/>
          <w:lang w:eastAsia="zh-CN"/>
        </w:rPr>
      </w:pPr>
    </w:p>
    <w:p w14:paraId="3AC54761" w14:textId="77777777" w:rsidR="009732B7" w:rsidRPr="009732B7" w:rsidRDefault="009732B7" w:rsidP="009732B7">
      <w:pPr>
        <w:widowControl/>
        <w:autoSpaceDE/>
        <w:autoSpaceDN/>
        <w:spacing w:line="264" w:lineRule="auto"/>
        <w:rPr>
          <w:rFonts w:eastAsia="Lucida Sans Unicode"/>
          <w:b/>
          <w:lang w:eastAsia="zh-CN"/>
        </w:rPr>
      </w:pPr>
    </w:p>
    <w:p w14:paraId="3D50393E" w14:textId="77777777" w:rsidR="009732B7" w:rsidRPr="009732B7" w:rsidRDefault="009732B7" w:rsidP="009732B7">
      <w:pPr>
        <w:widowControl/>
        <w:autoSpaceDE/>
        <w:autoSpaceDN/>
        <w:spacing w:line="264" w:lineRule="auto"/>
        <w:rPr>
          <w:rFonts w:eastAsia="Lucida Sans Unicode"/>
          <w:b/>
          <w:lang w:eastAsia="zh-CN"/>
        </w:rPr>
      </w:pPr>
    </w:p>
    <w:p w14:paraId="49B0D3AB" w14:textId="77777777" w:rsidR="009732B7" w:rsidRPr="009732B7" w:rsidRDefault="009732B7" w:rsidP="009732B7">
      <w:pPr>
        <w:widowControl/>
        <w:autoSpaceDE/>
        <w:autoSpaceDN/>
        <w:spacing w:line="264" w:lineRule="auto"/>
        <w:rPr>
          <w:rFonts w:eastAsia="Lucida Sans Unicode"/>
          <w:b/>
          <w:lang w:eastAsia="zh-CN"/>
        </w:rPr>
      </w:pPr>
    </w:p>
    <w:p w14:paraId="1FB5204A" w14:textId="77777777" w:rsidR="009732B7" w:rsidRPr="009732B7" w:rsidRDefault="009732B7" w:rsidP="009732B7">
      <w:pPr>
        <w:widowControl/>
        <w:autoSpaceDE/>
        <w:autoSpaceDN/>
        <w:spacing w:line="264" w:lineRule="auto"/>
        <w:rPr>
          <w:rFonts w:eastAsia="Lucida Sans Unicode"/>
          <w:b/>
          <w:lang w:eastAsia="zh-CN"/>
        </w:rPr>
      </w:pPr>
    </w:p>
    <w:p w14:paraId="02A47035" w14:textId="77777777" w:rsidR="009732B7" w:rsidRPr="009732B7" w:rsidRDefault="009732B7" w:rsidP="009732B7">
      <w:pPr>
        <w:widowControl/>
        <w:autoSpaceDE/>
        <w:autoSpaceDN/>
        <w:spacing w:line="264" w:lineRule="auto"/>
        <w:rPr>
          <w:rFonts w:eastAsia="Lucida Sans Unicode"/>
          <w:b/>
          <w:lang w:eastAsia="zh-CN"/>
        </w:rPr>
      </w:pPr>
    </w:p>
    <w:p w14:paraId="79715301" w14:textId="77777777" w:rsidR="009732B7" w:rsidRDefault="009732B7" w:rsidP="009732B7">
      <w:pPr>
        <w:widowControl/>
        <w:autoSpaceDE/>
        <w:autoSpaceDN/>
        <w:spacing w:line="264" w:lineRule="auto"/>
        <w:rPr>
          <w:rFonts w:eastAsia="Lucida Sans Unicode"/>
          <w:b/>
          <w:lang w:eastAsia="zh-CN"/>
        </w:rPr>
      </w:pPr>
    </w:p>
    <w:p w14:paraId="54A23B78" w14:textId="77777777" w:rsidR="009732B7" w:rsidRPr="009732B7" w:rsidRDefault="009732B7" w:rsidP="009732B7">
      <w:pPr>
        <w:widowControl/>
        <w:autoSpaceDE/>
        <w:autoSpaceDN/>
        <w:spacing w:line="264" w:lineRule="auto"/>
        <w:rPr>
          <w:rFonts w:eastAsia="Lucida Sans Unicode"/>
          <w:b/>
          <w:lang w:eastAsia="zh-CN"/>
        </w:rPr>
      </w:pPr>
    </w:p>
    <w:p w14:paraId="0B8A3E96" w14:textId="77777777" w:rsidR="009732B7" w:rsidRPr="009732B7" w:rsidRDefault="009732B7" w:rsidP="009732B7">
      <w:pPr>
        <w:widowControl/>
        <w:autoSpaceDE/>
        <w:autoSpaceDN/>
        <w:spacing w:line="264" w:lineRule="auto"/>
        <w:rPr>
          <w:rFonts w:eastAsia="Lucida Sans Unicode"/>
          <w:b/>
          <w:lang w:eastAsia="zh-CN"/>
        </w:rPr>
      </w:pPr>
      <w:r w:rsidRPr="009732B7">
        <w:rPr>
          <w:rFonts w:eastAsia="Lucida Sans Unicode"/>
          <w:b/>
          <w:lang w:eastAsia="zh-CN"/>
        </w:rPr>
        <w:lastRenderedPageBreak/>
        <w:t>Anhang 8</w:t>
      </w:r>
    </w:p>
    <w:p w14:paraId="518FB637" w14:textId="77777777" w:rsidR="009732B7" w:rsidRPr="009732B7" w:rsidRDefault="009732B7" w:rsidP="009732B7">
      <w:pPr>
        <w:widowControl/>
        <w:autoSpaceDE/>
        <w:autoSpaceDN/>
        <w:spacing w:line="264" w:lineRule="auto"/>
        <w:rPr>
          <w:rFonts w:eastAsia="Lucida Sans Unicode"/>
          <w:b/>
          <w:lang w:eastAsia="zh-CN"/>
        </w:rPr>
      </w:pPr>
    </w:p>
    <w:p w14:paraId="114E3EE4" w14:textId="77777777" w:rsidR="009732B7" w:rsidRPr="009732B7" w:rsidRDefault="009732B7" w:rsidP="009732B7">
      <w:pPr>
        <w:widowControl/>
        <w:autoSpaceDE/>
        <w:autoSpaceDN/>
        <w:spacing w:after="160" w:line="259" w:lineRule="auto"/>
        <w:rPr>
          <w:rFonts w:eastAsia="BundesSerif Office"/>
          <w:b/>
        </w:rPr>
      </w:pPr>
      <w:r w:rsidRPr="009732B7">
        <w:rPr>
          <w:rFonts w:eastAsia="BundesSerif Office"/>
          <w:b/>
        </w:rPr>
        <w:t>Artikel 5k der Verordnung (EU) Nr. 833/2014 in der Fassung des Art. 1 Ziff. 23 der Verordnung (EU) 2022/576 des Rates vom 8. April 2022 lautet wie folgt:</w:t>
      </w:r>
    </w:p>
    <w:p w14:paraId="01CF5B51"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bookmarkStart w:id="2" w:name="_Hlk100674991"/>
      <w:r w:rsidRPr="009732B7">
        <w:rPr>
          <w:rFonts w:eastAsia="BundesSerif Office"/>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AEEE588"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           russische Staatsangehörige oder in Russland niedergelassene natürliche oder juristische Personen, Organisationen oder Einrichtungen,</w:t>
      </w:r>
    </w:p>
    <w:p w14:paraId="09E8413E"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b)           juristische Personen, Organisationen oder Einrichtungen, deren Anteile zu über 50 % unmittelbar oder mittelbar von einer der unter Buchstabe a genannten Organisationen gehalten werden, oder</w:t>
      </w:r>
    </w:p>
    <w:p w14:paraId="2E1B9FC9"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c)            natürliche oder juristische Personen, Organisationen oder Einrichtungen, die im Namen oder auf Anweisung einer der unter Buchstabe a oder b genannten Organisationen handeln,</w:t>
      </w:r>
    </w:p>
    <w:p w14:paraId="74CDBC69"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auch solche, auf die mehr als 10 % des Auftragswerts entfällt, Unterauftragnehmer, Lieferanten oder Unternehmen, deren Kapazitäten im Sinne der Richtlinien über die öffentliche Auftragsvergabe in Anspruch genommen werden.</w:t>
      </w:r>
    </w:p>
    <w:p w14:paraId="13C1EBA7"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(2)   Abweichend von Absatz 1 können die zuständigen Behörden die Vergabe oder die Fortsetzung der Erfüllung von Verträgen genehmigen, die bestimmt sind für</w:t>
      </w:r>
    </w:p>
    <w:p w14:paraId="117A218A"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6563A2"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b)           die zwischenstaatliche Zusammenarbeit bei Raumfahrtprogrammen,</w:t>
      </w:r>
    </w:p>
    <w:p w14:paraId="6DABEFAD"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c)            die Bereitstellung unbedingt notwendiger Güter oder Dienstleistungen, wenn sie ausschließlich oder nur in ausreichender Menge von den in Absatz 1 genannten Personen bereitgestellt werden können,</w:t>
      </w:r>
    </w:p>
    <w:p w14:paraId="7816B808"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A9EF23C"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e)            den Kauf, die Einfuhr oder die Beförderung von Erdgas und Erdöl, einschließlich raffinierter Erdölerzeugnisse, sowie von Titan, Aluminium, Kupfer, Nickel, Palladium und Eisenerz aus oder durch Russland in die Union, oder</w:t>
      </w:r>
    </w:p>
    <w:p w14:paraId="5EBFADDA"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f)            den Kauf, die Einfuhr oder die Beförderung von Kohle und anderen festen fossile Brennstoffen, die in Anhang XXII aufgeführt sind, bis 10. August 2022.</w:t>
      </w:r>
    </w:p>
    <w:p w14:paraId="7A7D7E07"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(3)   Der betreffende Mitgliedstaat unterrichtet die anderen Mitgliedstaaten und die Kommission über jede nach diesem Artikel erteilte Genehmigung innerhalb von zwei Wochen nach deren Erteilung.</w:t>
      </w:r>
    </w:p>
    <w:p w14:paraId="3B58B9B8" w14:textId="77777777" w:rsidR="009732B7" w:rsidRPr="009732B7" w:rsidRDefault="009732B7" w:rsidP="009732B7">
      <w:pPr>
        <w:widowControl/>
        <w:pBdr>
          <w:top w:val="single" w:sz="4" w:space="1" w:color="auto"/>
          <w:left w:val="single" w:sz="4" w:space="1" w:color="auto"/>
          <w:bottom w:val="single" w:sz="4" w:space="1" w:color="auto"/>
          <w:right w:val="single" w:sz="4" w:space="1" w:color="auto"/>
        </w:pBdr>
        <w:autoSpaceDE/>
        <w:autoSpaceDN/>
        <w:spacing w:after="200" w:line="276" w:lineRule="auto"/>
        <w:rPr>
          <w:rFonts w:eastAsia="BundesSerif Office"/>
          <w:i/>
          <w:iCs/>
        </w:rPr>
      </w:pPr>
      <w:r w:rsidRPr="009732B7">
        <w:rPr>
          <w:rFonts w:eastAsia="BundesSerif Office"/>
          <w:i/>
          <w:iCs/>
        </w:rPr>
        <w:t>(4)   Die Verbote gemäß Absatz 1 gelten nicht für die Erfüllung — bis zum 10. Oktober 2022 — von Verträgen, die vor dem 9. April 2022 geschlossen wurden.</w:t>
      </w:r>
      <w:bookmarkEnd w:id="2"/>
    </w:p>
    <w:p w14:paraId="55D9A654" w14:textId="77777777" w:rsidR="009732B7" w:rsidRPr="009732B7" w:rsidRDefault="009732B7" w:rsidP="009732B7">
      <w:pPr>
        <w:widowControl/>
        <w:autoSpaceDE/>
        <w:autoSpaceDN/>
        <w:spacing w:before="120" w:after="120" w:line="312" w:lineRule="auto"/>
        <w:jc w:val="both"/>
        <w:rPr>
          <w:rFonts w:eastAsia="Lucida Sans Unicode"/>
          <w:lang w:eastAsia="zh-CN"/>
        </w:rPr>
      </w:pPr>
    </w:p>
    <w:p w14:paraId="5CC2BA04" w14:textId="2098F5A0" w:rsidR="008A038B" w:rsidRPr="006427EF" w:rsidRDefault="008A038B" w:rsidP="009732B7">
      <w:pPr>
        <w:spacing w:line="312" w:lineRule="auto"/>
      </w:pPr>
    </w:p>
    <w:sectPr w:rsidR="008A038B" w:rsidRPr="006427EF" w:rsidSect="006E6589">
      <w:pgSz w:w="11910" w:h="16840"/>
      <w:pgMar w:top="2080" w:right="1160" w:bottom="1040" w:left="1280" w:header="857" w:footer="8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27204" w14:textId="77777777" w:rsidR="00C76C75" w:rsidRDefault="00C76C75">
      <w:r>
        <w:separator/>
      </w:r>
    </w:p>
  </w:endnote>
  <w:endnote w:type="continuationSeparator" w:id="0">
    <w:p w14:paraId="7A525C2B" w14:textId="77777777" w:rsidR="00C76C75" w:rsidRDefault="00C7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183A" w14:textId="77777777" w:rsidR="00224502" w:rsidRDefault="0022450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B3947" id="_x0000_t202" coordsize="21600,21600" o:spt="202" path="m,l,21600r21600,l21600,xe">
              <v:stroke joinstyle="miter"/>
              <v:path gradientshapeok="t" o:connecttype="rect"/>
            </v:shapetype>
            <v:shape id="Text Box 5" o:spid="_x0000_s1026"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368E" w14:textId="77777777" w:rsidR="00224502" w:rsidRDefault="0022450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EF826B4"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w:t>
                          </w:r>
                          <w:r w:rsidR="008064C5">
                            <w:rPr>
                              <w:b/>
                              <w:sz w:val="18"/>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6D8E6" id="_x0000_t202" coordsize="21600,21600" o:spt="202" path="m,l,21600r21600,l21600,xe">
              <v:stroke joinstyle="miter"/>
              <v:path gradientshapeok="t" o:connecttype="rect"/>
            </v:shapetype>
            <v:shape id="Text Box 1" o:spid="_x0000_s1027"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" filled="f" stroked="f">
              <v:textbox inset="0,0,0,0">
                <w:txbxContent>
                  <w:p w14:paraId="7A1FEB68" w14:textId="7EF826B4"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w:t>
                    </w:r>
                    <w:r w:rsidR="008064C5">
                      <w:rPr>
                        <w:b/>
                        <w:sz w:val="18"/>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88724" w14:textId="77777777" w:rsidR="00C76C75" w:rsidRDefault="00C76C75">
      <w:r>
        <w:separator/>
      </w:r>
    </w:p>
  </w:footnote>
  <w:footnote w:type="continuationSeparator" w:id="0">
    <w:p w14:paraId="21866FFC" w14:textId="77777777" w:rsidR="00C76C75" w:rsidRDefault="00C7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B7D44" w14:textId="77777777" w:rsidR="00224502" w:rsidRDefault="002245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23B48BA1" w14:textId="77777777" w:rsidTr="006B1223">
      <w:trPr>
        <w:trHeight w:val="1158"/>
      </w:trPr>
      <w:sdt>
        <w:sdtPr>
          <w:rPr>
            <w:noProof/>
          </w:rPr>
          <w:alias w:val="AG-Logo"/>
          <w:tag w:val="AG-Logo"/>
          <w:id w:val="-606961683"/>
          <w:picture/>
        </w:sdtPr>
        <w:sdtEndPr/>
        <w:sdtContent>
          <w:tc>
            <w:tcPr>
              <w:tcW w:w="4183" w:type="dxa"/>
              <w:hideMark/>
            </w:tcPr>
            <w:p w14:paraId="7090CDE5" w14:textId="0A430770" w:rsidR="00F31EEF" w:rsidRPr="00E85714" w:rsidRDefault="00B33AD3" w:rsidP="00B33AD3">
              <w:pPr>
                <w:tabs>
                  <w:tab w:val="center" w:pos="4536"/>
                  <w:tab w:val="right" w:pos="9072"/>
                </w:tabs>
                <w:rPr>
                  <w:sz w:val="18"/>
                  <w:szCs w:val="18"/>
                </w:rPr>
              </w:pPr>
              <w:r w:rsidRPr="00B33AD3">
                <w:rPr>
                  <w:noProof/>
                </w:rPr>
                <w:drawing>
                  <wp:inline distT="0" distB="0" distL="0" distR="0" wp14:anchorId="48811374" wp14:editId="1AD412B9">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7E37B449"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3A0C5C84" w14:textId="4E420062" w:rsidR="00F31EEF" w:rsidRPr="00E454F9" w:rsidRDefault="00F31EEF" w:rsidP="00F31EEF">
          <w:pPr>
            <w:tabs>
              <w:tab w:val="right" w:pos="9072"/>
            </w:tabs>
            <w:jc w:val="right"/>
            <w:rPr>
              <w:sz w:val="16"/>
              <w:lang w:eastAsia="de-DE"/>
            </w:rPr>
          </w:pPr>
          <w:r w:rsidRPr="00E454F9">
            <w:rPr>
              <w:sz w:val="16"/>
              <w:lang w:eastAsia="de-DE"/>
            </w:rPr>
            <w:t>"</w:t>
          </w:r>
          <w:r w:rsidR="00D93A4A">
            <w:rPr>
              <w:sz w:val="16"/>
              <w:lang w:eastAsia="de-DE"/>
            </w:rPr>
            <w:t>Website &amp; Unternehmenskommunikation</w:t>
          </w:r>
          <w:r w:rsidRPr="00E454F9">
            <w:rPr>
              <w:sz w:val="16"/>
              <w:lang w:eastAsia="de-DE"/>
            </w:rPr>
            <w:t>"</w:t>
          </w:r>
        </w:p>
        <w:p w14:paraId="07460182" w14:textId="25974E00"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4CE9E3D1" w14:textId="3437B71D" w:rsidR="000A4C35" w:rsidRDefault="000A4C35">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4B220" w14:textId="77777777" w:rsidR="00224502" w:rsidRDefault="0022450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111C47" w:rsidRPr="00E454F9" w14:paraId="3AE6D9F3" w14:textId="77777777" w:rsidTr="00091E6A">
      <w:trPr>
        <w:trHeight w:val="1158"/>
      </w:trPr>
      <w:sdt>
        <w:sdtPr>
          <w:rPr>
            <w:noProof/>
          </w:rPr>
          <w:alias w:val="AG-Logo"/>
          <w:tag w:val="AG-Logo"/>
          <w:id w:val="1260642511"/>
          <w:picture/>
        </w:sdtPr>
        <w:sdtEndPr/>
        <w:sdtContent>
          <w:tc>
            <w:tcPr>
              <w:tcW w:w="4183" w:type="dxa"/>
              <w:hideMark/>
            </w:tcPr>
            <w:p w14:paraId="64A07279" w14:textId="36EB2E25" w:rsidR="00111C47" w:rsidRPr="00E85714" w:rsidRDefault="00B33AD3" w:rsidP="00111C47">
              <w:pPr>
                <w:tabs>
                  <w:tab w:val="center" w:pos="4536"/>
                  <w:tab w:val="right" w:pos="9072"/>
                </w:tabs>
                <w:ind w:left="34"/>
                <w:rPr>
                  <w:sz w:val="18"/>
                  <w:szCs w:val="18"/>
                </w:rPr>
              </w:pPr>
              <w:r w:rsidRPr="00B33AD3">
                <w:rPr>
                  <w:noProof/>
                </w:rPr>
                <w:drawing>
                  <wp:inline distT="0" distB="0" distL="0" distR="0" wp14:anchorId="77560001" wp14:editId="03D6374F">
                    <wp:extent cx="1647825" cy="1412746"/>
                    <wp:effectExtent l="0" t="0" r="0" b="0"/>
                    <wp:docPr id="35500156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51175" cy="1415618"/>
                            </a:xfrm>
                            <a:prstGeom prst="rect">
                              <a:avLst/>
                            </a:prstGeom>
                          </pic:spPr>
                        </pic:pic>
                      </a:graphicData>
                    </a:graphic>
                  </wp:inline>
                </w:drawing>
              </w:r>
            </w:p>
          </w:tc>
        </w:sdtContent>
      </w:sdt>
      <w:tc>
        <w:tcPr>
          <w:tcW w:w="5410" w:type="dxa"/>
        </w:tcPr>
        <w:p w14:paraId="7A546664" w14:textId="77777777" w:rsidR="00111C47" w:rsidRPr="00E454F9" w:rsidRDefault="00111C47" w:rsidP="00111C47">
          <w:pPr>
            <w:tabs>
              <w:tab w:val="right" w:pos="9072"/>
            </w:tabs>
            <w:jc w:val="right"/>
            <w:rPr>
              <w:sz w:val="16"/>
              <w:lang w:eastAsia="de-DE"/>
            </w:rPr>
          </w:pPr>
          <w:r w:rsidRPr="00E454F9">
            <w:rPr>
              <w:sz w:val="16"/>
              <w:lang w:eastAsia="de-DE"/>
            </w:rPr>
            <w:t>Vergabeverfahren</w:t>
          </w:r>
        </w:p>
        <w:p w14:paraId="12E913C0" w14:textId="3034B081" w:rsidR="00111C47" w:rsidRPr="00E454F9" w:rsidRDefault="00111C47" w:rsidP="00111C47">
          <w:pPr>
            <w:tabs>
              <w:tab w:val="right" w:pos="9072"/>
            </w:tabs>
            <w:jc w:val="right"/>
            <w:rPr>
              <w:sz w:val="16"/>
              <w:lang w:eastAsia="de-DE"/>
            </w:rPr>
          </w:pPr>
          <w:r w:rsidRPr="00E454F9">
            <w:rPr>
              <w:sz w:val="16"/>
              <w:lang w:eastAsia="de-DE"/>
            </w:rPr>
            <w:t>"</w:t>
          </w:r>
          <w:r w:rsidR="00D93A4A" w:rsidRPr="00D93A4A">
            <w:rPr>
              <w:sz w:val="16"/>
              <w:lang w:eastAsia="de-DE"/>
            </w:rPr>
            <w:t>Website &amp; Unternehmenskommunikation</w:t>
          </w:r>
          <w:r w:rsidRPr="00E454F9">
            <w:rPr>
              <w:sz w:val="16"/>
              <w:lang w:eastAsia="de-DE"/>
            </w:rPr>
            <w:t>"</w:t>
          </w:r>
        </w:p>
        <w:p w14:paraId="12A76553" w14:textId="77777777" w:rsidR="00111C47" w:rsidRPr="00CF06A2" w:rsidRDefault="00111C47" w:rsidP="00111C47">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12C36367" w14:textId="1FE885D5" w:rsidR="000A4C35" w:rsidRDefault="000A4C35" w:rsidP="005B0D1B">
    <w:pPr>
      <w:pStyle w:val="Textkrper"/>
      <w:spacing w:before="24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ADA"/>
    <w:multiLevelType w:val="hybridMultilevel"/>
    <w:tmpl w:val="DDD8425E"/>
    <w:lvl w:ilvl="0" w:tplc="78AE32C4">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7386F49"/>
    <w:multiLevelType w:val="hybridMultilevel"/>
    <w:tmpl w:val="1AA0C97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B9379E"/>
    <w:multiLevelType w:val="hybridMultilevel"/>
    <w:tmpl w:val="C8A4BB64"/>
    <w:lvl w:ilvl="0" w:tplc="7DCC75CE">
      <w:start w:val="1"/>
      <w:numFmt w:val="decimal"/>
      <w:lvlText w:val="%1."/>
      <w:lvlJc w:val="left"/>
      <w:pPr>
        <w:ind w:left="563" w:hanging="425"/>
        <w:jc w:val="left"/>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4" w15:restartNumberingAfterBreak="0">
    <w:nsid w:val="247F54B6"/>
    <w:multiLevelType w:val="hybridMultilevel"/>
    <w:tmpl w:val="26084876"/>
    <w:lvl w:ilvl="0" w:tplc="3A16F204">
      <w:start w:val="2"/>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5" w15:restartNumberingAfterBreak="0">
    <w:nsid w:val="250856FA"/>
    <w:multiLevelType w:val="hybridMultilevel"/>
    <w:tmpl w:val="9C526396"/>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3176D5"/>
    <w:multiLevelType w:val="hybridMultilevel"/>
    <w:tmpl w:val="43241804"/>
    <w:lvl w:ilvl="0" w:tplc="B63CCA22">
      <w:start w:val="1"/>
      <w:numFmt w:val="decimal"/>
      <w:lvlText w:val="(%1)"/>
      <w:lvlJc w:val="left"/>
      <w:pPr>
        <w:ind w:left="138" w:hanging="305"/>
        <w:jc w:val="left"/>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7" w15:restartNumberingAfterBreak="0">
    <w:nsid w:val="30DD3FF4"/>
    <w:multiLevelType w:val="hybridMultilevel"/>
    <w:tmpl w:val="7B1A2036"/>
    <w:lvl w:ilvl="0" w:tplc="3274E126">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8" w15:restartNumberingAfterBreak="0">
    <w:nsid w:val="33D538F6"/>
    <w:multiLevelType w:val="hybridMultilevel"/>
    <w:tmpl w:val="CC3834A6"/>
    <w:lvl w:ilvl="0" w:tplc="1CB0DDE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9" w15:restartNumberingAfterBreak="0">
    <w:nsid w:val="37C41B17"/>
    <w:multiLevelType w:val="hybridMultilevel"/>
    <w:tmpl w:val="D1903918"/>
    <w:lvl w:ilvl="0" w:tplc="A998C94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jc w:val="left"/>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10" w15:restartNumberingAfterBreak="0">
    <w:nsid w:val="39390EFC"/>
    <w:multiLevelType w:val="hybridMultilevel"/>
    <w:tmpl w:val="30AC9882"/>
    <w:lvl w:ilvl="0" w:tplc="22602586">
      <w:start w:val="1"/>
      <w:numFmt w:val="decimal"/>
      <w:lvlText w:val="(%1)"/>
      <w:lvlJc w:val="left"/>
      <w:pPr>
        <w:ind w:left="138" w:hanging="310"/>
        <w:jc w:val="left"/>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1031EF"/>
    <w:multiLevelType w:val="hybridMultilevel"/>
    <w:tmpl w:val="C6565DE2"/>
    <w:lvl w:ilvl="0" w:tplc="FEF0D37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3" w15:restartNumberingAfterBreak="0">
    <w:nsid w:val="4291704D"/>
    <w:multiLevelType w:val="hybridMultilevel"/>
    <w:tmpl w:val="7CAAF03E"/>
    <w:lvl w:ilvl="0" w:tplc="68EE056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4856141"/>
    <w:multiLevelType w:val="hybridMultilevel"/>
    <w:tmpl w:val="9A2068D2"/>
    <w:lvl w:ilvl="0" w:tplc="CF9E776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5" w15:restartNumberingAfterBreak="0">
    <w:nsid w:val="4A6C5EA8"/>
    <w:multiLevelType w:val="hybridMultilevel"/>
    <w:tmpl w:val="570CD810"/>
    <w:lvl w:ilvl="0" w:tplc="5636C984">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6" w15:restartNumberingAfterBreak="0">
    <w:nsid w:val="55AA157A"/>
    <w:multiLevelType w:val="hybridMultilevel"/>
    <w:tmpl w:val="3490F9D2"/>
    <w:lvl w:ilvl="0" w:tplc="9162BF52">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7" w15:restartNumberingAfterBreak="0">
    <w:nsid w:val="5F90534E"/>
    <w:multiLevelType w:val="hybridMultilevel"/>
    <w:tmpl w:val="6310DC0C"/>
    <w:lvl w:ilvl="0" w:tplc="58341AE6">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8" w15:restartNumberingAfterBreak="0">
    <w:nsid w:val="76F90AB0"/>
    <w:multiLevelType w:val="hybridMultilevel"/>
    <w:tmpl w:val="434C2CF2"/>
    <w:lvl w:ilvl="0" w:tplc="A78651DA">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9" w15:restartNumberingAfterBreak="0">
    <w:nsid w:val="773B6465"/>
    <w:multiLevelType w:val="hybridMultilevel"/>
    <w:tmpl w:val="65EC65A6"/>
    <w:lvl w:ilvl="0" w:tplc="EE90C10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20" w15:restartNumberingAfterBreak="0">
    <w:nsid w:val="7C482D4F"/>
    <w:multiLevelType w:val="hybridMultilevel"/>
    <w:tmpl w:val="C31EE5FA"/>
    <w:lvl w:ilvl="0" w:tplc="64547ADA">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21" w15:restartNumberingAfterBreak="0">
    <w:nsid w:val="7E8E5D79"/>
    <w:multiLevelType w:val="hybridMultilevel"/>
    <w:tmpl w:val="7AE2D772"/>
    <w:lvl w:ilvl="0" w:tplc="D6F63D5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85154231">
    <w:abstractNumId w:val="4"/>
  </w:num>
  <w:num w:numId="2" w16cid:durableId="1343125549">
    <w:abstractNumId w:val="8"/>
  </w:num>
  <w:num w:numId="3" w16cid:durableId="616261188">
    <w:abstractNumId w:val="21"/>
  </w:num>
  <w:num w:numId="4" w16cid:durableId="1493445902">
    <w:abstractNumId w:val="10"/>
  </w:num>
  <w:num w:numId="5" w16cid:durableId="422457221">
    <w:abstractNumId w:val="0"/>
  </w:num>
  <w:num w:numId="6" w16cid:durableId="531261137">
    <w:abstractNumId w:val="16"/>
  </w:num>
  <w:num w:numId="7" w16cid:durableId="1201358443">
    <w:abstractNumId w:val="1"/>
  </w:num>
  <w:num w:numId="8" w16cid:durableId="453135396">
    <w:abstractNumId w:val="17"/>
  </w:num>
  <w:num w:numId="9" w16cid:durableId="758448397">
    <w:abstractNumId w:val="7"/>
  </w:num>
  <w:num w:numId="10" w16cid:durableId="984238293">
    <w:abstractNumId w:val="12"/>
  </w:num>
  <w:num w:numId="11" w16cid:durableId="1512525470">
    <w:abstractNumId w:val="18"/>
  </w:num>
  <w:num w:numId="12" w16cid:durableId="80177833">
    <w:abstractNumId w:val="20"/>
  </w:num>
  <w:num w:numId="13" w16cid:durableId="1522818217">
    <w:abstractNumId w:val="9"/>
  </w:num>
  <w:num w:numId="14" w16cid:durableId="649601083">
    <w:abstractNumId w:val="6"/>
  </w:num>
  <w:num w:numId="15" w16cid:durableId="1281495253">
    <w:abstractNumId w:val="14"/>
  </w:num>
  <w:num w:numId="16" w16cid:durableId="1414549876">
    <w:abstractNumId w:val="15"/>
  </w:num>
  <w:num w:numId="17" w16cid:durableId="341974294">
    <w:abstractNumId w:val="19"/>
  </w:num>
  <w:num w:numId="18" w16cid:durableId="80025243">
    <w:abstractNumId w:val="3"/>
  </w:num>
  <w:num w:numId="19" w16cid:durableId="1364020442">
    <w:abstractNumId w:val="11"/>
  </w:num>
  <w:num w:numId="20" w16cid:durableId="219366111">
    <w:abstractNumId w:val="5"/>
  </w:num>
  <w:num w:numId="21" w16cid:durableId="846675252">
    <w:abstractNumId w:val="13"/>
  </w:num>
  <w:num w:numId="22" w16cid:durableId="7488457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vsOcLbIz45eLAieNkR5jssSGcww8xPbm4AajFlTeMmQrzGpj/OpwqvSiRzlH8/WPQbvOT+vrHVlwvjLsKAUbw==" w:salt="rBYqNsQdb1AChBwYQvYPDw=="/>
  <w:defaultTabStop w:val="720"/>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34FAC"/>
    <w:rsid w:val="000A4C35"/>
    <w:rsid w:val="000C4051"/>
    <w:rsid w:val="00111C47"/>
    <w:rsid w:val="00123969"/>
    <w:rsid w:val="00123D13"/>
    <w:rsid w:val="001344ED"/>
    <w:rsid w:val="001F386B"/>
    <w:rsid w:val="00211EF7"/>
    <w:rsid w:val="00224502"/>
    <w:rsid w:val="002E416A"/>
    <w:rsid w:val="003725DB"/>
    <w:rsid w:val="00385E07"/>
    <w:rsid w:val="003B1EDB"/>
    <w:rsid w:val="003D01E7"/>
    <w:rsid w:val="00420353"/>
    <w:rsid w:val="004D5563"/>
    <w:rsid w:val="005447FF"/>
    <w:rsid w:val="005B0D1B"/>
    <w:rsid w:val="005D7DE9"/>
    <w:rsid w:val="00612322"/>
    <w:rsid w:val="006427EF"/>
    <w:rsid w:val="006E6589"/>
    <w:rsid w:val="00767E13"/>
    <w:rsid w:val="007815E0"/>
    <w:rsid w:val="008064C5"/>
    <w:rsid w:val="008348D7"/>
    <w:rsid w:val="008A038B"/>
    <w:rsid w:val="008E5163"/>
    <w:rsid w:val="009732B7"/>
    <w:rsid w:val="009B6C9D"/>
    <w:rsid w:val="009E69ED"/>
    <w:rsid w:val="00A03D4D"/>
    <w:rsid w:val="00A30A0B"/>
    <w:rsid w:val="00A34833"/>
    <w:rsid w:val="00A70364"/>
    <w:rsid w:val="00A940F9"/>
    <w:rsid w:val="00B17220"/>
    <w:rsid w:val="00B33AD3"/>
    <w:rsid w:val="00B47A9B"/>
    <w:rsid w:val="00B71FDF"/>
    <w:rsid w:val="00BC6027"/>
    <w:rsid w:val="00BF060D"/>
    <w:rsid w:val="00C01857"/>
    <w:rsid w:val="00C66926"/>
    <w:rsid w:val="00C76C75"/>
    <w:rsid w:val="00C9625A"/>
    <w:rsid w:val="00CC6EBA"/>
    <w:rsid w:val="00CD40FE"/>
    <w:rsid w:val="00CF3470"/>
    <w:rsid w:val="00D93A4A"/>
    <w:rsid w:val="00E70B46"/>
    <w:rsid w:val="00F31EEF"/>
    <w:rsid w:val="00F42119"/>
    <w:rsid w:val="00F75929"/>
    <w:rsid w:val="00F9280E"/>
    <w:rsid w:val="00FE218F"/>
    <w:rsid w:val="5DBC373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table" w:styleId="Tabellenraster">
    <w:name w:val="Table Grid"/>
    <w:basedOn w:val="NormaleTabelle"/>
    <w:uiPriority w:val="59"/>
    <w:rsid w:val="005B0D1B"/>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F31EEF"/>
    <w:pPr>
      <w:widowControl/>
      <w:autoSpaceDE/>
      <w:autoSpaceDN/>
      <w:spacing w:after="240" w:line="312" w:lineRule="auto"/>
      <w:ind w:left="709"/>
      <w:jc w:val="both"/>
    </w:pPr>
    <w:rPr>
      <w:rFonts w:eastAsia="Times New Roman" w:cs="Times New Roman"/>
      <w:szCs w:val="20"/>
    </w:rPr>
  </w:style>
  <w:style w:type="character" w:styleId="Platzhaltertext">
    <w:name w:val="Placeholder Text"/>
    <w:basedOn w:val="Absatz-Standardschriftart"/>
    <w:uiPriority w:val="99"/>
    <w:rsid w:val="001F38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dejure.org/gesetze/StGB/108f.htm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92E9CC88BD4C7B976982F1DF7A5946"/>
        <w:category>
          <w:name w:val="Allgemein"/>
          <w:gallery w:val="placeholder"/>
        </w:category>
        <w:types>
          <w:type w:val="bbPlcHdr"/>
        </w:types>
        <w:behaviors>
          <w:behavior w:val="content"/>
        </w:behaviors>
        <w:guid w:val="{8B647A0D-CFF5-4220-887B-3F016E7CF51D}"/>
      </w:docPartPr>
      <w:docPartBody>
        <w:p w:rsidR="00494453" w:rsidRDefault="00494453" w:rsidP="00494453">
          <w:pPr>
            <w:pStyle w:val="AF92E9CC88BD4C7B976982F1DF7A5946"/>
          </w:pPr>
          <w:r w:rsidRPr="004101AF">
            <w:rPr>
              <w:rStyle w:val="Platzhaltertext"/>
              <w:color w:val="F2CEED" w:themeColor="accent5" w:themeTint="33"/>
              <w:shd w:val="clear" w:color="auto" w:fill="F2CEED" w:themeFill="accent5" w:themeFillTint="33"/>
            </w:rPr>
            <w:t>Klicken Sie hier, um Text einzugeben.</w:t>
          </w:r>
        </w:p>
      </w:docPartBody>
    </w:docPart>
    <w:docPart>
      <w:docPartPr>
        <w:name w:val="9F6C0F2C8EF743C3883FF355E4B43313"/>
        <w:category>
          <w:name w:val="Allgemein"/>
          <w:gallery w:val="placeholder"/>
        </w:category>
        <w:types>
          <w:type w:val="bbPlcHdr"/>
        </w:types>
        <w:behaviors>
          <w:behavior w:val="content"/>
        </w:behaviors>
        <w:guid w:val="{673D213D-299A-4067-8FCD-2CEB6599DDC2}"/>
      </w:docPartPr>
      <w:docPartBody>
        <w:p w:rsidR="00494453" w:rsidRDefault="00494453" w:rsidP="00494453">
          <w:pPr>
            <w:pStyle w:val="9F6C0F2C8EF743C3883FF355E4B43313"/>
          </w:pPr>
          <w:r w:rsidRPr="004101AF">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453"/>
    <w:rsid w:val="003725DB"/>
    <w:rsid w:val="00385E07"/>
    <w:rsid w:val="00494453"/>
    <w:rsid w:val="00A03D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494453"/>
    <w:rPr>
      <w:color w:val="808080"/>
    </w:rPr>
  </w:style>
  <w:style w:type="paragraph" w:customStyle="1" w:styleId="AF92E9CC88BD4C7B976982F1DF7A5946">
    <w:name w:val="AF92E9CC88BD4C7B976982F1DF7A5946"/>
    <w:rsid w:val="00494453"/>
  </w:style>
  <w:style w:type="paragraph" w:customStyle="1" w:styleId="9F6C0F2C8EF743C3883FF355E4B43313">
    <w:name w:val="9F6C0F2C8EF743C3883FF355E4B43313"/>
    <w:rsid w:val="004944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0B7B4F-49A5-4A13-8009-1197B6D3559E}">
  <ds:schemaRefs>
    <ds:schemaRef ds:uri="http://schemas.openxmlformats.org/package/2006/metadata/core-properties"/>
    <ds:schemaRef ds:uri="http://schemas.microsoft.com/office/2006/documentManagement/types"/>
    <ds:schemaRef ds:uri="http://purl.org/dc/dcmitype/"/>
    <ds:schemaRef ds:uri="http://purl.org/dc/elements/1.1/"/>
    <ds:schemaRef ds:uri="dba8f0d6-d4c9-4871-82e0-69548ef38e78"/>
    <ds:schemaRef ds:uri="http://schemas.microsoft.com/office/infopath/2007/PartnerControls"/>
    <ds:schemaRef ds:uri="http://www.w3.org/XML/1998/namespace"/>
    <ds:schemaRef ds:uri="http://purl.org/dc/terms/"/>
    <ds:schemaRef ds:uri="0a9bfd82-eea3-4c9b-baee-fe53511bbd13"/>
    <ds:schemaRef ds:uri="http://schemas.microsoft.com/office/2006/metadata/properties"/>
  </ds:schemaRefs>
</ds:datastoreItem>
</file>

<file path=customXml/itemProps2.xml><?xml version="1.0" encoding="utf-8"?>
<ds:datastoreItem xmlns:ds="http://schemas.openxmlformats.org/officeDocument/2006/customXml" ds:itemID="{EA053949-CA29-4A62-82D4-CEBDECB02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324A1A-F5AC-45D4-B014-D4889F43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4206</Words>
  <Characters>26500</Characters>
  <Application>Microsoft Office Word</Application>
  <DocSecurity>0</DocSecurity>
  <Lines>220</Lines>
  <Paragraphs>61</Paragraphs>
  <ScaleCrop>false</ScaleCrop>
  <Company/>
  <LinksUpToDate>false</LinksUpToDate>
  <CharactersWithSpaces>30645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ADVANT Beiten</cp:lastModifiedBy>
  <cp:revision>4</cp:revision>
  <dcterms:created xsi:type="dcterms:W3CDTF">2026-05-18T11:50:00Z</dcterms:created>
  <dcterms:modified xsi:type="dcterms:W3CDTF">2026-05-18T11:55:00Z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ContentTypeId">
    <vt:lpwstr>0x0101001900E8B4721DC049A3EBD3710F79AC91</vt:lpwstr>
  </property>
  <property fmtid="{D5CDD505-2E9C-101B-9397-08002B2CF9AE}" pid="6" name="MediaServiceImageTags">
    <vt:lpwstr/>
  </property>
</Properties>
</file>